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C/5825/2017 vom 31. Mai 2018</w:t>
      </w:r>
    </w:p>
    <w:p>
      <w:r>
        <w:t>GE Cour de justice, 2018-05-31, FR</w:t>
      </w:r>
    </w:p>
    <w:p>
      <w:r>
        <w:rPr>
          <w:b/>
        </w:rPr>
        <w:t xml:space="preserve">Quelle: </w:t>
      </w:r>
      <w:r>
        <w:t>https://mcp.opencaselaw.ch/entscheid/ge_gerichte_C_5825_2017</w:t>
      </w:r>
    </w:p>
    <w:p>
      <w:r>
        <w:t>FR: GE_GERICHTE C/5825/2017 du 31 mai 2018</w:t>
      </w:r>
    </w:p>
    <w:p>
      <w:r>
        <w:t>IT: GE_GERICHTE C/5825/2017 del 31 maggio 2018</w:t>
      </w:r>
    </w:p>
    <w:p>
      <w:pPr>
        <w:pStyle w:val="Heading2"/>
      </w:pPr>
      <w:r>
        <w:t>Regeste</w:t>
      </w:r>
    </w:p>
    <w:p>
      <w:r>
        <w:t>PROTECTION DE L'UNION CONJUGALE ; MESURE PROVISIONNELLE ; RESTITUTION DE L'EFFET SUSPENSIF ; APPEL(CPC)</w:t>
      </w:r>
    </w:p>
    <w:p>
      <w:pPr>
        <w:pStyle w:val="Heading2"/>
      </w:pPr>
      <w:r>
        <w:t>Volltext</w:t>
      </w:r>
    </w:p>
    <w:p>
      <w:r>
        <w:t>Genf Cour de Justice (Cour civile) Chambre civile 02.08.2018 C/5825/2017 Genève Cour de Justice (Cour civile) Chambre civile 02.08.2018 C/5825/2017 Ginevra Cour de Justice (Cour civile) Chambre civile 02.08.2018 C/5825/2017</w:t>
      </w:r>
    </w:p>
    <w:p>
      <w:r>
        <w:t>C/5825/2017 ACJC/1052/2018 du 02.08.2018 sur JTPI/8572/2018 ( SDF ) Descripteurs : PROTECTION DE L'UNION CONJUGALE ; MESURE PROVISIONNELLE ; RESTITUTION DE L'EFFET SUSPENSIF ; APPEL(CPC) Par ces motifs RÉPUBLIQUE ET CANTON DE GENÈVE POUVOIR JUDICIAIRE C/5825/2017 ACJC/1052/2018 ARRÊT DE LA COUR DE JUSTICE Chambre civile du JEUDI 2 AOÛT 2018 Entre Madame A______ , domiciliée ______, appelante d'un jugement rendu par la 3ème Chambre du Tribunal de première instance de ce canton le 31 mai 2018, comparant par Me Muriel Pierrehumbert, avocate, rue de la Rôtisserie 8, 1204 Genève, en l'étude de laquelle elle fait élection de domicile, et Monsieur B______ , domicilié ______, intimé, comparant par Me Gustavo da Silva, avocat, rue de la Fontaine 13, case postale 3186, 1211 Genève 3, en l'étude duquel il fait élection de domicile. Vu, EN FAIT , le jugement du 31 mai 2018 par lequel le Tribunal de première instance, statuant sur mesures protectrices de l'union conjugale, a notamment instauré une garde partagée sur les enfants du couple A______/B______ dont les modalités ont été fixées et dit que le domicile légal desdits enfants seraient celui de leur père (ch. 4 et 5), condamné A______ à verser à B______, à titre de contribution à l'entretien de chacun de leurs enfants, par mois, d'avance et par enfant, allocations familiales en sus à compter du mois qui suit le prononcé du jugement jusqu'au 30 septembre 2018, une somme de 175 fr. pour l'enfant C______ et de 210 fr. pour l'enfant D______, ainsi que , par mois et d'avance à compter du 1er octobre 2018 la moitié des allocations familiales ainsi que la somme de 632 fr. représentant la moitié des charges fixes des enfants (ch. 8 et 9), condamné A______ à verser à B______, par mois et d'avance, à titre de contribution à son entretien, la somme de 1'100 fr. à compter du 1er mars 2017 et jusqu'au 30 septembre 2018 et de 1'300 fr. à compter du mois qui suit le prononcé du jugement jusqu'au 30 septembre 2018 (ch. 6 et 7), Attendu que le Tribunal a notamment retenu qu'il était dans l'intérêt des enfants de suivre les conclusions du SEASP qui préconisait la mise en place d'une garde alternée, Vu l'appel formé par A______ contre les chiffres précités du dispositif de la décision, concluant à l'annulation de ceux-ci, cela fait à ce que la garde des enfants lui soit attribuée, avec fixation d'un droit de visite en faveur du père dont elle a détaillé les modalités, à ce que soit constaté que le domicile légal des enfants étaient auprès d'elle, à ce que B______ soit condamné à lui verser à titre de contribution à l'entretien des enfants par mois et d'avance 300 fr. par enfant dès le 1er octobre 2017, et à ce que l'une et l'autre des parties soit dispensée du versement de toute contribution d'entretien en faveur l'une de l'autre, Vu la conclusion préalable que comporte l'appel, tendant à ce que soit accordé à celui-ci l'effet suspensif, Attendu que l'appelante fait valoir qu'un changement de régime avec une garde alternée perturberait les enfants et serait source d'échanges dépourvus de sérénité entre les parties, et qu'elle se retrouverait débitrice de l'intimé qui pourrait la poursuivre de ce fait; Que l'intimé conclut au rejet de la requête d'effet suspensif, relevant que le changement procède des conclusions du SEASP non remises en question par l'appelante, laquelle se borne à évoquer un risque de poursuites abstrait sans exposer en quoi elle en éprouverait un préjudice irréparable; Considérant, en droit, que le jugement querellé portant sur des mesures provisionnelles, l'appel n'a pas d'effet suspensif ex lege (art. 315 al. 4 let. b CPC); Que les maximes inquisitoire et d'office sont applicables, compte tenu de la présence d'enfants mineurs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l'exécution immédiate demeure la règle et la suspension du caractère exécutoire l'exception; Que selon les principes généraux en matière d'effet suspensif, le juge procède à une pesée des intérêts en présence; Qu'en l'espèce, l'appelante ne se prévaut pas de circonstance particulière commandant que la garde alternée, préconisée par le SEASP, ne soit pas mise en pratique, se bornant à invoquer de manière générale les désagréments liés à tout changement et la supposition que les relations entre les parties ne seraient pas sereines; Que, si un climat de sérénité serait manifestement de nature à faciliter les choses, il n'apparaît pas que les éventuelles tensions entre les parties soient telles que le bien des enfants exclurait la solution retenue par le premier juge, laquelle doit être favorisée dans la règle; Qu'en ce qui concerne les aspects financiers, l'appelante met en exergue un risque de poursuites intentées par l'intimé, sans fournir à cet égard d'élément concret; Qu'elle n'expose ainsi pas à quel préjudice difficilement réparable réel elle serait exposée, à tout le mois jusqu'au prononcé sur le fond de son appel, qui paraît pouvoir intervenir à relativement brève échéance; Qu'au vu de ce qui précède, la requête de l'appelante tendant à la suspension du caractère exécutoire des chiffres 4 à 9 du dispositif du jugement attaqué sera rejetée; Qu'il sera statué sur les frais et dépens de l'incident avec la décision au fond (art. 104 al. 3 CPC). * * * * * * PAR CES MOTIFS, La Chambre civile : Statuant sur requête de suspension du caractère exécutoire du jugement entrepris : Rejette la requête formée par A______ tendant à la suspension du caractère exécutoire des chiffres 4 à 9 du dispositif du jugement JTPI/8572/2018 rendu le 31 mai 2018 par le Tribunal de première instance dans la cause C/5825/2017-3. Dit qu'il sera statué sur les frais liés à la présente décision dans l'arrêt rendu sur le fond. Siégeant : Madame Sylvie DROIN, présidente ad interim ; Madame Mélanie DE RESENDE PEREIRA, greffière. La présidente ad interim : Sylvie DROIN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