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C/5798/2018 vom 3. Mai 2018</w:t>
      </w:r>
    </w:p>
    <w:p>
      <w:r>
        <w:t>GE Cour de justice, 2018-05-03, FR</w:t>
      </w:r>
    </w:p>
    <w:p>
      <w:r>
        <w:rPr>
          <w:b/>
        </w:rPr>
        <w:t xml:space="preserve">Quelle: </w:t>
      </w:r>
      <w:r>
        <w:t>https://mcp.opencaselaw.ch/entscheid/ge_gerichte_C_5798_2018</w:t>
      </w:r>
    </w:p>
    <w:p>
      <w:r>
        <w:t>FR: GE_GERICHTE C/5798/2018 du 3 mai 2018</w:t>
      </w:r>
    </w:p>
    <w:p>
      <w:r>
        <w:t>IT: GE_GERICHTE C/5798/2018 del 3 maggio 2018</w:t>
      </w:r>
    </w:p>
    <w:p>
      <w:pPr>
        <w:pStyle w:val="Heading2"/>
      </w:pPr>
      <w:r>
        <w:t>Regeste</w:t>
      </w:r>
    </w:p>
    <w:p>
      <w:r>
        <w:t>CAS CLAIR ; EXPULSION DE LOCATAIRE | CO.257d; CPC.257</w:t>
      </w:r>
    </w:p>
    <w:p>
      <w:pPr>
        <w:pStyle w:val="Heading2"/>
      </w:pPr>
      <w:r>
        <w:t>Erwägungen</w:t>
      </w:r>
    </w:p>
    <w:p>
      <w:r>
        <w:rPr>
          <w:b/>
        </w:rPr>
        <w:t>E. 1.1</w:t>
      </w:r>
    </w:p>
    <w:p>
      <w:r>
        <w:t>La Chambre des baux et loyers connaît des appels et des recours dirigés contre les jugements du Tribunal des baux et loyers (art. 122 let. a LOJ). Selon l'art. 121 al. 2 LOJ, dans les causes fondées sur les art. 257d et 282 CO, comme en l'espèce, la Chambre des baux et loyers de la Cour de justice siège sans assesseurs.</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w:t>
      </w:r>
    </w:p>
    <w:p>
      <w:r>
        <w:rPr>
          <w:b/>
        </w:rPr>
        <w:t>E. 1.3</w:t>
      </w:r>
    </w:p>
    <w:p>
      <w:r>
        <w:t>En l'espèce, compte tenu du loyer mensuel des locaux en cause, la valeur litigieuse est supérieure à 10'000 fr. La voie de l'appel est dès lors ouverte.</w:t>
      </w:r>
    </w:p>
    <w:p>
      <w:r>
        <w:rPr>
          <w:b/>
        </w:rPr>
        <w:t>E. 1.4</w:t>
      </w:r>
    </w:p>
    <w:p>
      <w:r>
        <w:t>L'appel a été interjeté dans le délai et suivant la forme prescrits par la loi (art. 130, 131, 311 al. 1 CPC). Il est ainsi recevable.</w:t>
      </w:r>
    </w:p>
    <w:p>
      <w:r>
        <w:rPr>
          <w:b/>
        </w:rPr>
        <w:t>E. 1.5</w:t>
      </w:r>
    </w:p>
    <w:p>
      <w:r>
        <w:t>La Cour revoit la cause avec un plein pouvoir d'examen (art. 310 CPC; HOHL, Procédure civile, tome II, 2010, n. 2314 et 2416; RETORNAZ, in : Procédure civile suisse, Les grands thèmes pour les praticiens, Neuchâtel, 2010, p. 349 ss, n. 121).</w:t>
      </w:r>
    </w:p>
    <w:p>
      <w:r>
        <w:rPr>
          <w:b/>
        </w:rPr>
        <w:t>E. 2</w:t>
      </w:r>
    </w:p>
    <w:p>
      <w:r>
        <w:t>La procédure de protection dans les cas clairs prévue par l'art. 257 CPC, soumise à la procédure sommaire, permet à la partie demanderesse d'obtenir rapidement une décision ayant l'autorité de la chose jugée et la force exécutoire, lorsque la situation de fait et de droit n'est pas équivoque (Message du Conseil fédéral relatif au CPC, FF 2006 p. 6959; ATF 141 III 23 consid. 3.2; 138 III 620 consid. 5.1.1).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 En règle générale, la preuve est rapportée par la production de titres, conformément à l'art. 254 al. 1 CPC. La preuve n'est pas facilitée : le demandeur doit apporter la preuve certaine ("voller Beweis") des faits justifiant sa prétention; la simple vraisemblance ("Glaubhaftmachen") ne suffit pas (arrêt du Tribunal fédéral 4D_4/2018 du 19 mars 2018 consid. 3.1).</w:t>
      </w:r>
    </w:p>
    <w:p>
      <w:r>
        <w:rPr>
          <w:b/>
        </w:rPr>
        <w:t>E. 3</w:t>
      </w:r>
    </w:p>
    <w:p>
      <w:r>
        <w:t>Les appelants reprochent au Tribunal d'avoir fait droit à la requête de l'intimée, en retenant qu'ils n'avaient pas versé le montant qui leur était réclamé à l'échéance du délai comminatoire.</w:t>
      </w:r>
    </w:p>
    <w:p>
      <w:r>
        <w:rPr>
          <w:b/>
        </w:rPr>
        <w:t>E. 3.1</w:t>
      </w:r>
    </w:p>
    <w:p>
      <w:r>
        <w:t>La procédure en cas clair n'est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III 23 consid. 3.2). La situation juridique est claire lorsque l'application de la norme au cas concret s'impose de façon évidente au regard du texte légal ou sur la base d'une doctrine et d'une jurisprudence éprouvées (ATF 141 III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Une requête en expulsion d'un locataire selon la procédure de protection dans les cas clairs est admissible même lorsque le locataire a attaqué en justice le congé donné par le bailleur et que cette procédure est pendante (ATF 141 III 262 consid. 3).</w:t>
      </w:r>
    </w:p>
    <w:p>
      <w:r>
        <w:rPr>
          <w:b/>
        </w:rPr>
        <w:t>E. 3.2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4A_134/2011 du 23 mai 2011 consid. 3 et les références citées). Lorsque la sommation mentionne, sans plus de renseignements, un montant sans rapport avec la somme effectivement due à titre de loyer et de charges, la mise en demeure ne satisfait pas aux exigences de clarté et de précision (arrêt du Tribunal fédéral 4A_134/2011 du 23 mai 2011 consid. 3).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(arrêt du Tribunal fédéral 4A_306/2015 du 14 octobre 2015 consid. 2 et les références citées). Le simple fait que l'avis comminatoire mentionne des créances qui ne permettent pas l'application de l'art. 257d CO ne suffit pas à remettre en cause la validité de cet avis dans son intégralité si le locataire ne pouvait avoir de doute au sujet du bien-fondé et de l'exigibilité de certaines autres créances (arrêt du Tribunal fédéral 4A_306/2015 précité, consid. 4).</w:t>
      </w:r>
    </w:p>
    <w:p>
      <w:r>
        <w:rPr>
          <w:b/>
        </w:rPr>
        <w:t>E. 3.3</w:t>
      </w:r>
    </w:p>
    <w:p>
      <w:r>
        <w:t>En l'occurrence, à l'appui de sa requête, l'intimée a notamment produit un courrier de mise en demeure, daté du 13 décembre 2017 (visant des retards de paiement pour un solde de loyer et de charges de 300 fr. relatif au mois de septembre 2017, et des loyers et charges de 1'113 fr. mensuels relatif à chacun des mois d'octobre à décembre 2017), et un décompte de loyers pour l'année 2017. De cette dernière pièce résulte les mentions au débit de douze loyers de 1'113 fr. (tous les premiers du mois) et de divers frais ainsi que la facturation "coût saison 2016", et au crédit de six encaissements de 1'113 fr., deux encaissements de 1'123 fr., un de 1'158 fr., et une "redevance libre" de 2'226 fr. (pour un total de 12'308 fr.); en outre, figurent au crédit, sous la mention "virement interne" un débit de 1'113 fr. immédiatement extourné, un crédit de 2'580 fr. 70 ultérieurement extourné et un débit de 3'339 fr. immédiatement extourné, de même que deux débits de 200 fr. et 100 fr. respectivement. La colonne solde du décompte indique un montant de 3'799 fr. 20 en défaveur des locataires à la date du 13 décembre 2017. Les deux pièces précitées ne paraissent donc pas concorder. A l'audience du Tribunal du 3 mai 2018, l'intimée a déclaré que l'avis comminatoire était exact, pour autant que soit prise en compte l'extourne du montant de 2'580 fr. 70, explication qui ne lève pas l'absence de concordance relevée ci-avant. Enfin, dans sa réponse à l'appel, l'intimée affirme avoir encaissé un total de 10'017 fr. au lieu de 13'356 fr. dus pour l'année 2017, ce qui ne correspond pas au décompte produit. Il suit de ces diverses constatations que le cas ne peut pas être qualifié de clair, ce qui emporte l'irrecevabilité de la requête. La décision attaquée sera dès lors annulée et la requête déclarée irrecevable.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mai 2018 par A______ et B______ contre le jugement JTBL/424/2018 rendu le 3 mai 2018 par le Tribunal des baux et loyers dans la cause C/5798/2018-8-SE. Au fond : Annule ce jugement et statuant à nouveau : Déclare irrecevable la requête formée par C______ le 13 mars 2018. Dit que la procédure est gratuite. Siégeant : Madame Nathalie LANDRY-BARTHE, présidente; Madame Sylvie DROIN et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