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C/5674/2017 vom 4. September 2017</w:t>
      </w:r>
    </w:p>
    <w:p>
      <w:r>
        <w:t>GE Cour de justice, 2017-09-04, FR</w:t>
      </w:r>
    </w:p>
    <w:p>
      <w:r>
        <w:rPr>
          <w:b/>
        </w:rPr>
        <w:t xml:space="preserve">Quelle: </w:t>
      </w:r>
      <w:r>
        <w:t>https://mcp.opencaselaw.ch/entscheid/ge_gerichte_C_5674_2017</w:t>
      </w:r>
    </w:p>
    <w:p>
      <w:r>
        <w:t>FR: GE_GERICHTE C/5674/2017 du 4 septembre 2017</w:t>
      </w:r>
    </w:p>
    <w:p>
      <w:r>
        <w:t>IT: GE_GERICHTE C/5674/2017 del 4 settembre 2017</w:t>
      </w:r>
    </w:p>
    <w:p>
      <w:pPr>
        <w:pStyle w:val="Heading2"/>
      </w:pPr>
      <w:r>
        <w:t>Regeste</w:t>
      </w:r>
    </w:p>
    <w:p>
      <w:r>
        <w:t>BAIL À LOYER ; EXPULSION DE LOCATAIRE ; ORDRE D'ÉVACUATION ; DÉFAUT DE PAIEMENT ; LOYER | CPC.311;</w:t>
      </w:r>
    </w:p>
    <w:p>
      <w:pPr>
        <w:pStyle w:val="Heading2"/>
      </w:pPr>
      <w:r>
        <w:t>Erwägungen</w:t>
      </w:r>
    </w:p>
    <w:p>
      <w:r>
        <w:rPr>
          <w:b/>
        </w:rPr>
        <w:t>E. 1</w:t>
      </w:r>
    </w:p>
    <w:p>
      <w:r>
        <w:t>Selon l'art. 121 al. 2 LOJ, dans les causes fondées sur les art. 257d et 282 CO, la Chambre des baux et loyers de la Cour de justice siège sans assesseurs.</w:t>
      </w:r>
    </w:p>
    <w:p>
      <w:r>
        <w:rPr>
          <w:b/>
        </w:rPr>
        <w:t>E. 2</w:t>
      </w:r>
    </w:p>
    <w:p>
      <w:r>
        <w:t>.2 En l'espèce, la présente procédure a trait à une demande d'évacuation avec mesures d'exécution directe, dans laquelle la question de la validité du congé ne se pose pas. Le loyer du logement, charges comprises, s'élevant à 1'035 fr. par mois, la valeur litigieuse est inférieure à 10'000 fr. (1'035 fr. x 9 = 9'315 fr.). La voie de l'appel n'est ainsi pas ouverte contre le prononcé de l'évacuation. Par ailleurs, seule la voie du recours est ouverte contre les mesures d'exécution (art. 309 let. a CPC et 319 let. a CPC).</w:t>
      </w:r>
    </w:p>
    <w:p>
      <w:r>
        <w:rPr>
          <w:b/>
        </w:rPr>
        <w:t>E. 2.3</w:t>
      </w:r>
    </w:p>
    <w:p>
      <w:r>
        <w:t>Le recours, écrit et motivé, est introduit auprès de l'instance de recours dans les trente jours à compter de la notification de la décision motivée (art. 321 al. 1 CPC). 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 Lorsqu'elle examine le mémoire de recours, l'autorité doit distinguer selon que le recourant est ou non représenté par un avocat. S'il ne l'est pas, il suffit alors que sa formulation permette de bonne foi de discerner ce que le Tribunal cantonal devrait décider (Tribunal cantonal de Bâle-campagne du 15 octobre 2013 (410 13 259) consid. 2). L'interdiction du formalisme excessif commande d'entrer exceptionnellement en matière sur un appel, respectivement un recours, formellement dépourvu de conclusions, si ce que demande le recourant résulte de sa motivation, cas échéant en relation avec le jugement attaqué (ATF 137 III 617 consid. 6.2).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2.4</w:t>
      </w:r>
    </w:p>
    <w:p>
      <w:r>
        <w:t>En l'espèce, le recourant ne prend aucune conclusion expresse permettant à la Chambre de céans de statuer à nouveau, se limitant à exposer les raisons pour lesquelles il dit ne pas avoir payé les montants réclamés par la bailleresse. Il ne fait pas valoir de grief particulier contre le jugement querellé, ni n'explique pour quel motif le Tribunal n'aurait pas dû prononcer son évacuation. Il en va de même s'agissant des mesures d'exécution prononcées par les premiers juges. Partant, son recours est irrecevable, tant en ce qu'il est dirigé contre l'évacuation que contre son exécution.</w:t>
      </w:r>
    </w:p>
    <w:p>
      <w:r>
        <w:rPr>
          <w:b/>
        </w:rPr>
        <w:t>E. 3</w:t>
      </w:r>
    </w:p>
    <w:p>
      <w:r>
        <w:t>Eût-il été recevable, qu'il serait infondé.</w:t>
      </w:r>
    </w:p>
    <w:p>
      <w:r>
        <w:rPr>
          <w:b/>
        </w:rPr>
        <w:t>E. 3.1</w:t>
      </w:r>
    </w:p>
    <w:p>
      <w:r>
        <w:t>Il y a cas clair si l'état de fait n'est pas litigieux ou est susceptible d'être immédiatement prouvé et si la situation juridique est claire (art. 257 al. 1 CPC).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d'impose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620 ).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2011, n. 13 ad art. 257 CPC; HOHL, Procédure civile, Tome II, 2 ème édition, Berne 2010,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op. cit., n. 9 ad art. 257 CPC; LACHAT, Procédure civile en matière de baux et loyers, 2011, ch. 4.4.2.2, p. 167; HOHL, op. cit., n. 1429 et 1444).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3.2</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et de locaux commerciaux peuvent être résiliés moyennant un délai de congé de trente jours pour la fin d'un mois. Le congé des baux d'habitations et de locaux commerciaux doit être donné par écrit. Le bailleur doit donner le congé en utilisant une formule agréée par le canton et qui indique au locataire la manière dont il doit procéder s'il entend contester le congé ou demander la prolongation du bail (art. 266l CO). Le congé qui ne satisfait pas aux conditions prévues aux art. 266l à 266n est nul (art. 266o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 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La jurisprudence (ATF 140 III 591 consid. 1)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(ATF 120 II 31 consid. 4; arrêts 4A_549/2013 du 7 novembre 2013 consid. 4, in SJ 2014 I p. 105; 4A_641/2011 du 27 janvier 2012 consid. 7; 4C.430/2004 du 8 février 2005 consid. 3.1, résumé in SJ 2005 I p. 310). Le fardeau de la preuve d'un congé contraire à la bonne foi incombe au demandeur à l'action en annulation (ATF 120 II 105 consid. 3c).</w:t>
      </w:r>
    </w:p>
    <w:p>
      <w:r>
        <w:rPr>
          <w:b/>
        </w:rPr>
        <w:t>E. 3.3</w:t>
      </w:r>
    </w:p>
    <w:p>
      <w:r>
        <w:t>En l'espèce, c'est à bon droit que les premiers juges ont considéré que les conditions d'une résiliation selon l'art. 257d CO étaient réalisées, et que le cas était clair. Le recourant ne le conteste au demeurant pas. Il se contente d'indiquer, sans le rendre vraisemblable, qu'il n'aurait pas reçu en temps utile les bulletins de versement permettant de régler le loyer. Le recourant n'explique toutefois pas pour quelle raison il n'a pas versé le montant dû, lors de la réception de la mise en demeure de payer le loyer. Il n'allègue pas plus avoir demandé à la bailleresse l'envoi de bulletins de versement. Par ailleurs, les mesures d'exécution prononcées par les premiers juges sont proportionnées au cas d'espèce, compte tenu du montant de l'arriéré de loyer et de l'absence de proposition suffisante en vue de résorber la dette. Partant, le recours aurait été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19 mai 2017 par A______ contre le jugement JTBL/434/2017 rendu le 3 mai 2017 par le Tribunal des baux et loyers dans la cause C/5674/2017-7-SE. Dit que la procédure est gratuite. Siégeant : Madame Nathalie LANDRY-BARTHE, présidente; Madame Pauline ERARD,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