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C/5666/2013 vom 12. September 2013</w:t>
      </w:r>
    </w:p>
    <w:p>
      <w:r>
        <w:t>GE Cour de justice, 2013-09-12, FR</w:t>
      </w:r>
    </w:p>
    <w:p>
      <w:r>
        <w:rPr>
          <w:b/>
        </w:rPr>
        <w:t xml:space="preserve">Quelle: </w:t>
      </w:r>
      <w:r>
        <w:t>https://mcp.opencaselaw.ch/entscheid/ge_gerichte_C_5666_2013</w:t>
      </w:r>
    </w:p>
    <w:p>
      <w:r>
        <w:t>FR: GE_GERICHTE C/5666/2013 du 12 septembre 2013</w:t>
      </w:r>
    </w:p>
    <w:p>
      <w:r>
        <w:t>IT: GE_GERICHTE C/5666/2013 del 12 settembre 2013</w:t>
      </w:r>
    </w:p>
    <w:p>
      <w:pPr>
        <w:pStyle w:val="Heading2"/>
      </w:pPr>
      <w:r>
        <w:t>Regeste</w:t>
      </w:r>
    </w:p>
    <w:p>
      <w:r>
        <w:t>DIVORCE; MESURE PROVISIONNELLE; NOUVEAU MOYEN DE PREUVE; DROIT D'ÊTRE ENTENDU; OBLIGATION D'ENTRETIEN; CONJOINT; MODIFICATION DES CIRCONSTANCES | CC.163; CC.179; CPC.276; Cst.29.2; CPC.53</w:t>
      </w:r>
    </w:p>
    <w:p>
      <w:pPr>
        <w:pStyle w:val="Heading2"/>
      </w:pPr>
      <w:r>
        <w:t>Volltext</w:t>
      </w:r>
    </w:p>
    <w:p>
      <w:r>
        <w:t>Genf Cour de Justice (Cour civile) Chambre civile 13.12.2013 C/5666/2013 Genève Cour de Justice (Cour civile) Chambre civile 13.12.2013 C/5666/2013 Ginevra Cour de Justice (Cour civile) Chambre civile 13.12.2013 C/5666/2013</w:t>
      </w:r>
    </w:p>
    <w:p>
      <w:r>
        <w:t>DIVORCE; MESURE PROVISIONNELLE; NOUVEAU MOYEN DE PREUVE; DROIT D'ÊTRE ENTENDU; OBLIGATION D'ENTRETIEN; CONJOINT; MODIFICATION DES CIRCONSTANCES | CC.163; CC.179; CPC.276; Cst.29.2; CPC.53</w:t>
      </w:r>
    </w:p>
    <w:p>
      <w:r>
        <w:t>C/5666/2013 ACJC/1473/2013 du 13.12.2013 sur OTPI/1250/2013 ( SDF ) , CONFIRME Descripteurs : DIVORCE; MESURE PROVISIONNELLE; NOUVEAU MOYEN DE PREUVE; DROIT D'ÊTRE ENTENDU; OBLIGATION D'ENTRETIEN; CONJOINT; MODIFICATION DES CIRCONSTANCES Normes : CC.163; CC.179; CPC.276; Cst.29.2; CPC.53 En fait En droit Par ces motifs RÉPUBLIQUE ET CANTON DE GENÈVE POUVOIR JUDICIAIRE C/5666/2013 ACJC/1473/2013 ARRÊT DE LA COUR DE JUSTICE Chambre civile du VENDREDI 13 DECEMBRE 2013 Entre A______ , domicilié ______ (GE), appelant d'une ordonnance rendue par la 10ème Chambre du Tribunal de première instance de ce canton le 12 septembre 2013, comparant par Me Elizaveta Rochat, avocate, rue du Vieux-Collège 10 bis, 1204 Genève, en l'étude de laquelle il fait élection de domicile, et B______ , domiciliée ______ (GE), intimée, comparant par Me Pascal Marti, avocat, place des Philosophes 8, 1205 Genève, en l'étude duquel elle fait élection de domicile. EN FAIT A. Par ordonnance du 12 septembre 2013, communiquée pour notification aux parties le jour même, le Tribunal de première instance, statuant sur mesures provisionnelles de divorce, a réservé à A______ un droit de visite sur sa fille C______ s'exerçant un dimanche sur deux de 10h00 à 18h00, cela du dimanche 15 septembre 2013 au mois de janvier 2014 (ch. 1), mis les frais judiciaires - arrêtés à 500 fr. - à la charge de A______ et les a compensés avec l'avance de frais fournie par celui-ci (ch. 2), dit qu'il n'était pas alloué de dépens (ch. 3) et débouté les parties de toutes autres conclusions (ch. 4).![endif]&gt;![if&gt; B. a. Par acte expédié au greffe de la Cour de justice le 23 septembre 2013, A______ appelle de cette ordonnance, dont il sollicite l'annulation du chiffre 4 du dispositif.![endif]&gt;![if&gt; Principalement, A______ sollicite d'être condamné à payer en mains de B______, à titre de contribution à l'entretien de l'enfant C______, par mois et d'avance, allocations familiales non comprises, la somme de 600 fr. à partir du 1er mars 2013 et jusqu'à l'issue de la procédure de divorce. Il conclut au surplus au déboutement de B______ de toutes autres conclusions, avec suite de frais et dépens. A l'appui de son appel, A______ produit deux pièces non soumises au premier juge. b. Invitée à se déterminer par écrit, B______ conclut au rejet de l'appel et au déboutement de A______ de toutes ses conclusions, avec suite de frais judiciaires et dépens. Elle produit elle aussi un bordereau de pièces non soumises au premier juge. c. Les parties ont été informées de la mise en délibération de la cause par courrier du greffe de la Cour de justice du 4 novembre 2013. C. Les faits pertinents suivants ressortent du dossier soumis à la Cour:![endif]&gt;![if&gt; a. Les époux A______, né en 1986 à Genève, et B______, née en 1988 à Genève, ont contracté mariage en 2010 à ______ (GE). Une enfant est issue de cette union, C______, née en 2011 à Genève. b. Les époux ont rapidement connu d'importantes difficultés conjugales. Par jugement du 7 janvier 2013, statuant sur mesures protectrices de l'union conjugale, le Tribunal de première instance a notamment autorisé les époux à vivre séparés, attribué la garde de l'enfant C______ à sa mère, réservé un droit de visite à son père, instauré une curatelle d'organisation et de surveillance des relations personnelles et condamné A______ à verser à son épouse une contribution à l'entretien de la famille de 1'100 fr. par mois, allocations familiales non comprises, dès le 15 mai 2012. c. Lors de ce jugement, A______ était employé des établissements E______. Il percevait un revenu de 5'171 fr. 30 net par mois, 13 e salaire et prime annuelle compris. Ses charges mensuelles comprenaient ses frais de loyer (800 fr.), ses primes d'assurance-maladie obligatoire (295 fr. 10), ses frais de transport (70 fr.), ses impôts (343 fr.) et son entretien de base (1'200 fr.), pour un total de 2'891 fr. 70 par mois. B______ travaillait pour sa part à temps partiel (40 %) auprès de l'entreprise F______. Elle percevait à ce titre un salaire mensuel net de 1'427 fr. 90, abonnement aux transports publics déduit. Ses charges mensuelles comprenaient le loyer de son logement (1'435 fr.), ses primes d'assurance-maladie et celles de l'enfant C______ (577 fr.), les frais de garde de l'enfant C______ (400 fr.), son propre entretien de base (1'350 fr.) et celui de sa fille (400 fr.), pour un total de 4'162 fr. par mois. d. Le 18 mars 2013, A______ a formé une demande unilatérale en divorce. Cette demande était assortie d'une requête de mesures provisionnelles portant sur la modification de son droit de visite et la fixation d'une contribution à l'entretien de l'enfant C______ de 600 fr. par mois dès le 1er mars 2013, à l'exclusion de toute contribution à l'entretien de B______. B______ a acquiescé au principe du divorce, après s'y être initialement opposée. Devant le Tribunal, les époux ont trouvé un accord partiel sur les effets accessoires du divorce. Suivant les conclusions d'un rapport du SPMi daté du 29 juillet 2013, ils se sont également accordés sur l'exercice du droit de visite durant la procédure de divorce. Au surplus, B______ s'est opposée à la requête de mesures provisionnelles formée par son époux. e. A______ est toujours employé des établissements E______. Selon un certificat de salaire établi pour les mois de janvier à septembre 2013, il a perçu durant cette période un salaire net de 54'521 fr., prime annuelle incluse, y compris un montant brut de 4'175 fr. 40 à titre de rémunération d'heures supplémentaires. Ses charges mensuelles comprennent la moitié du loyer d'un appartement dont il est colocataire (830 fr.), ses primes d'assurance-maladie obligatoire (294 fr. 25), ses impôts (746 fr.), ses frais de transport (70 fr.) et son entretien de base (1'200 fr.), pour un total de 3'140 fr. f. B______ a pour sa part quitté son emploi pour poursuivre, dès le 26 août 2013, un apprentissage d'employée de commerce auprès de la société G______. Elle produit un certificat médical indiquant qu'elle a dû changer d'orientation professionnelle pour des raisons de santé. Son salaire d'apprentie s'élève actuellement à 1'400 fr. brut, soit 1'206 fr. 10 net par mois. Les charges mensuelles de B______ comprennent le loyer de son logement (1'101 fr. 65, allocation de logement déduite), ses primes d'assurance-maladie et celles de sa fille (275 fr. 10, subsides déduits), des frais de crèche (415 fr. 80), ses impôts (124 fr.), ainsi que son entretien de base (1'350 fr.) et celui de sa fille (400 fr.), pour un total de 3'666 fr. 55 par mois hors frais de transport. A ce propos, B______ a pris en leasing un véhicule automobile, dont les mensualités s'élèvent à 595 fr. 30. Elle établit également être locataire d'une place de parking dont le loyer s'élève à 130 fr. par mois. Dans son jugement du 7 janvier 2013, qui n'a pas fait l'objet d'un appel, le juge des mesures protectrices de l'union conjugale avait écarté ces charges au motif que B______ ne démontrait pas avoir besoin d'un véhicule et que des frais d'abonnement aux transports publics étaient déduits de son salaire. D. Dans l'ordonnance entreprise, le Tribunal a considéré en substance qu'il convenait de modifier le droit de visite de A______ conformément aux conclusions du rapport du SPMi du 29 juillet 2013 et à l'accord des parties sur ce point. Concernant l'entretien de la famille, cette question avait été réglée de manière proportionnée et équitable par le jugement sur mesures protectrices de l'union conjugale rendu huit mois auparavant. En particulier, le budget mensuel de A______ lui permettait aujourd'hui encore de verser la contribution d'entretien fixée, tout en conservant un solde positif de plus de 900 fr. par mois. Rien ne permettait donc de considérer qu'il était nécessaire de modifier les mesures protectrices sur ce point.![endif]&gt;![if&gt; E. L'argumentation des parties en appel sera examinée ci-après, dans la mesure utile à la solution du litige.![endif]&gt;![if&gt;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CPC).![endif]&gt;![if&gt; En l'espèce, les dernières conclusions des parties devant le premier juge portaient sur la réduction du montant des contributions d'entretien dues par l'appelant de 1'100 fr. à 600 fr. par mois, soit une prétention patrimoniale de plus de 10'000 fr. compte tenu de la durée indéterminée des versements (500 fr. x 12 x 20; art. 92 al. 2 CPC). La voie de l'appel est donc ouverte. 1.2 Interjeté dans le délai de dix jours (142 al. 1, 248 let. d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2.2 En l'espèce, la fille des parties est mineure et les pièces nouvellement produites en appel se rapportent aux aspects patrimoniaux de la contribution due notamment à l'entretien de celle-ci. La recevabilité desdites pièces doit par conséquent être admise, ce d'autant que nombre d'entre elles sont postérieures à la date à laquelle le premier juge a gardé la cause à juger. 3. 3.1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2.2).![endif]&gt;![if&gt;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En ce qui concerne plus précisément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3.2 En l'espèce l'appelant soutient que la décision entreprise consacrerait une violation de son droit d'être entendu, dans la mesure où le premier juge n'aurait pas examiné sa requête, ni ses moyens de preuves ni ses arguments de fait. Contrairement à ce que soutient l'appelant, le premier juge n'a pas refusé d'entrer en matière sur sa requête de mesures provisionnelles au motif que la situation des parties faisait déjà l'objet d'une décision de mesures protectrices de l'union conjugale. Le premier juge a notamment modifié le droit de visite de l'appelant conformément aux recommandations du SPMi et à l'accord des parties. S'il n'a effectivement pas réduit le montant de la contribution due par le cité à l'entretien de sa famille, il l'a fait après avoir comparé, de manière certes succincte mais néanmoins compatible avec les exigences de motivation applicables en matière de mesures provisionnelles, la situation des parties telle qu'elle lui était soumise avec celle qui prévalait lors du prononcé des mesures protectrices de l'union conjugale. C'est après avoir constaté que cette situation n'avait pas subi de changement significatif depuis ledit prononcé, qui était effectivement récent, que le premier juge a considéré qu'il n'y avait pas lieu de modifier le montant de la contribution d'entretien litigieuse. Aucune violation du droit d'être entendu de l'appelant ne peut être retenue en relation avec ce qui précède. L'appelant ne démontre par ailleurs pas quel élément de preuve preuve propre à modifier la décision aurait été ignoré ou apprécié d'une manière arbitraire par le premier le premier juge, de sorte que les conclusions de celui-ci seraient insoutenables. Les griefs de l'appelant tirés de l'arbitraire et de la violation de son droit d'être entendu doivent par conséquent être écartés. 4. 4.1 Sur le fond, l'appelant conteste être tenu de contribuer à l'entretien de son épouse en sus de celui de sa fille.![endif]&gt;![if&gt; 4.1.1 Même lorsqu'on ne peut plus sérieusement compter sur la reprise de la vie commune, l'art. 163 CC demeure la cause de l'obligation d'entretien réciproque des époux (ATF 137 III 385 consid. 3.1; 130 III 537 consid. 3.2). Pour fixer la contribution d'entretien,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procéder à un "mini-procès" en divorce: il ne doit pas trancher, même sous l'angle de la vraisemblance, les questions de fond, objet du procès en divorce, en particulier celle de savoir si le mariage a influencé concrètement la situation financière du conjoint (ATF 137 III 385 consid. 3.1, précisant l'ATF 128 III 65 ; arrêts du Tribunal fédéral 5A_218/2012 du 29 juin 2012 consid. 3.3.1; 5A_720/2011 du 8 mars 2012 consid. 4.1.1; 5A_236/2011 du 18 octobre 2011 consid. 4.2.3). 4.1.2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Le juge du divorce est compétent pour prononcer leur modification ou leur révocation (art. 276 al. 2 CPC).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5A_720/2011 cité consid. 4.1.2; 5A_502/2010 du 25 juillet 2011 consid. 3.2.2).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arrêts du Tribunal fédéral 5A_720/2011 cité consid. 4.1.2; 5A_730/2008 du 22 décembre 2008 consid. 3.1 et les arrêts cités). 4.2 En l'espèce, l'appelant reproche principalement à l'intimée d'avoir cessé d'exercer une activité lucrative régulière pour poursuivre un apprentissage. A cet égard, la Cour constate que ce changement n'entraîne pour l'intimée qu'une faible diminution de son revenu, celui-ci passant de 1'430 fr. net à 1'400 fr. brut, soit un peu plus de 1'200 fr. net, par mois. Les allégations de l'appelant selon lesquelles l'intimée serait en mesure de réaliser des revenus supérieurs, dès lors qu'elle a obtenu des revenus pratiquement similaires aux siens en 2010, ne peuvent être suivies. Outre que la réalisation antérieure de tels revenus par l'intimée n'est pas établie, les pièces auxquelles se réfère l'appelant n'étant que des arrangements fiscaux sans indication du revenu imposable, il faut tenir compte du fait que l'intimée assume désormais la garde de la fille mineure des époux, laquelle est encore en bas âge. On ne saurait dès lors raisonnablement exiger de l'intimée qu'elle exerce parallèlement une activité lucrative régulière à plein temps. En l'occurrence, l'intimée rend également vraisemblable qu'elle a dû changer d'orientation professionnelle - et pour cela entreprendre une nouvelle formation - pour des raisons de santé. Il n'y a dès lors pas lieu d'admettre à ce stade que l'intimée aurait délibérément renoncé à mettre à profit sa capacité de gain, ni d'exiger d'elle qu'elle renonce à son apprentissage pour reprendre une activité semblable à celle qu'elle exerçait lors du prononcé des mesures protectrices de l'union conjugale. Le fait que l'intimée possède un véhicule dont les mensualités de leasing paraissent excessivement élevées au regard de ses revenus ne permet par ailleurs pas de retenir que l'intimée disposerait de ressources supplémentaires, autres que le soutien admis par l'intimée de ses parents en relation avec ledit véhicule. La disposition d'un véhicule ne doit par ailleurs pas nécessairement être écartée des charges incompressibles de l'intimée, dès lors que celle-ci ne dispose plus d'un abonnement aux transports publics par le biais de son employeur et qu'elle poursuit un apprentissage tout en assumant la garde de la fille mineure des époux. Un montant plus raisonnable, de l'ordre de 300 fr. par mois, peut notamment être inclus dans les charges de l'intimée à ce titre, portant le total de celles-ci à 3'970 fr. par mois. Il s'ensuit que le budget mensuel de l'intimée présente actuellement un déficit de l'ordre de 2'760 fr. par mois (1'210 fr. – 3'970 fr.), qui ne diffère pas significativement du déficit mensuel de 2'730 fr. constaté lors du prononcé des mesures protectrices de l'union conjugale (1'430 fr. – 4'160 fr.). La situation de l'intimée étant ainsi globalement inchangée, c'est à bon droit que le premier juge a estimé que l'appelant pouvait demeurer tenu de contribuer à l'entretien de son épouse, et non seulement à celui de sa fille. Une telle contribution est notamment conforme aux principes rappelés ci-dessus, même si l'on ne peut plus compter sur une reprise de la vie commune et même si l'intimée ne réclame pas sur le fond de contribution post-divorce à son entretien. Au surplus, la situation de l'appelant n'apparaît pas non plus avoir subi de changement significatif depuis le prononcé des mesures protectrices de l'union conjugale. Si ses charges incompressibles paraissent avoir légèrement augmenté, passant de 2'890 fr. à 3'140 fr. par mois, il semble également que les revenus de l'appelant soient en augmentation, puisqu'il a perçu une somme de 54'521 fr. net pour les mois de janvier à septembre 2013, soit un salaire net moyen de 6'060 fr. net par mois, contre 5'170 fr. net par mois précédemment. Même en faisant abstraction de la somme de 4'175 fr. brut perçue à titre de rémunération d'heures supplémentaires, soit 3'675 fr. net sous déduction des charges au prorata, le salaire perçu par l'appelant sur les neuf premiers mois de l'année 2013 s'élève encore à 50'846 fr. net (54'521 fr. – 3'675 fr.), soit une moyenne de 5'650 fr. net par mois. Comme précédemment, le solde disponible de l'appelant s'élève ainsi en tous les cas à plus de 2'000 fr. par mois (5'650 fr. – 3'140 fr.), ce qui lui permet de s'acquitter de la contribution litigieuse de 1'100 fr. par mois sans porter atteinte à son minimum vital élargi. Par conséquent, l'appelant sera débouté de ses conclusions tendant à la réduction du montant des contributions dues à l'entretien de sa famille et l'ordonnance entreprise sera intégralement confirmée. 5. Les frais judiciaires de l'appel seront mis à la charge de l'appelant, qui succombe pour l'essentiel (art. 95 et 106 al. 1 CPC). L'émolument de décision sera fixé à 800 fr. (art. 31 et 37 RTFMC) et sera compensé avec l'avance de frais de même montant fournie par l'appelant, qui reste acquise à l'Etat (art. 111 al. 1 CPC).![endif]&gt;![if&gt; Pour des motifs d'équité liés à la nature du litige, les parties conserveront à leur charge leur propres dépens (art 107 al. 1 let. c CPC). 6.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par A______ contre l'ordonnance OTPI/1250/2013 rendue le 12 septembre 2013 par le Tribunal de première instance dans la cause C/5666/2013-10. Au fond : Confirme l'ordonnance entreprise. Déboute les parties de toutes autres conclusions. Sur les frais : Arrête les frais judiciaires d'appel à 800 fr. et les met à la charge de A______. Dit que les frais judiciaires sont compensés avec l'avance de frais de même montant fournie par A______, qui reste acquise à l'Etat.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