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C/5606/2012 vom 18. August 2014</w:t>
      </w:r>
    </w:p>
    <w:p>
      <w:r>
        <w:t>GE Cour de justice, 2014-08-18, FR</w:t>
      </w:r>
    </w:p>
    <w:p>
      <w:r>
        <w:rPr>
          <w:b/>
        </w:rPr>
        <w:t xml:space="preserve">Quelle: </w:t>
      </w:r>
      <w:r>
        <w:t>https://mcp.opencaselaw.ch/entscheid/ge_gerichte_C_5606_2012</w:t>
      </w:r>
    </w:p>
    <w:p>
      <w:r>
        <w:t>FR: GE_GERICHTE C/5606/2012 du 18 août 2014</w:t>
      </w:r>
    </w:p>
    <w:p>
      <w:r>
        <w:t>IT: GE_GERICHTE C/5606/2012 del 18 agosto 2014</w:t>
      </w:r>
    </w:p>
    <w:p>
      <w:pPr>
        <w:pStyle w:val="Heading2"/>
      </w:pPr>
      <w:r>
        <w:t>Regeste</w:t>
      </w:r>
    </w:p>
    <w:p>
      <w:r>
        <w:t>EFFET SUSPENSIF; DOMMAGE IRRÉPARABLE; CHANCES DE SUCCÈS | CPC.319.B.2; CPC.325.2</w:t>
      </w:r>
    </w:p>
    <w:p>
      <w:pPr>
        <w:pStyle w:val="Heading2"/>
      </w:pPr>
      <w:r>
        <w:t>Volltext</w:t>
      </w:r>
    </w:p>
    <w:p>
      <w:r>
        <w:t>Genf Cour de Justice (Cour civile) Chambre civile 18.08.2014 C/5606/2012 Genève Cour de Justice (Cour civile) Chambre civile 18.08.2014 C/5606/2012 Ginevra Cour de Justice (Cour civile) Chambre civile 18.08.2014 C/5606/2012</w:t>
      </w:r>
    </w:p>
    <w:p>
      <w:r>
        <w:t>EFFET SUSPENSIF; DOMMAGE IRRÉPARABLE; CHANCES DE SUCCÈS | CPC.319.B.2; CPC.325.2</w:t>
      </w:r>
    </w:p>
    <w:p>
      <w:r>
        <w:t>C/5606/2012 ACJC/978/2014 du 18.08.2014 ( SOM ) Descripteurs : EFFET SUSPENSIF; DOMMAGE IRRÉPARABLE; CHANCES DE SUCCÈS Normes : CPC.319.B.2; CPC.325.2 Par ces motifs RÉPUBLIQUE ET CANTON DE GENÈVE POUVOIR JUDICIAIRE C/5606/2012 ACJC/978/2014 ARRÊT DE LA COUR DE JUSTICE Chambre civile du LUNDI 18 aoÛt 2014 Entre Madame A______ , domiciliée ______ (GE), recourante contre une ordonnance rendue par la 17ème Chambre du Tribunal de première instance de ce canton le 16 avril 2014, comparant par Me Cyril Aellen, avocat, 61, rue du Rhône, 1204 Genève, en l'Étude duquel elle fait élection de domicile, et Monsieur B______ , domicilié ______ (GE), intimé, comparant par Me François Roullet, avocat, 11, rue Ferdinand-Hodler, 1207 Genève, en l'Étude duquel il fait élection de domicile. Vu, EN FAIT , l'ordonnance rendue par le Tribunal de première instance le 16 avril 2014, notifiée le 22 avril 2014 et rendue dans le cadre de la procédure de divorce, par laquelle le Tribunal de première instance a déclaré clos les débats principaux et fixé les plaidoiries finales au 30 mai 2014; Vu le recours expédié au greffe de la Cour de justice le 2 mai 2014 par A______, laquelle a conclu à l'annulation de l'ordonnance précitée et à la mise sur pied d'une expertise judiciaire du bien immobilier sis ______ (France); Qu'elle a sollicité préalablement à ce que le caractère exécutoire de l'ordonnance querellée soit suspendu; Que la Cour de justice a accordé l'effet suspensif à titre superprovisionnel le 26 mai 2014; Que, par détermination du 14 août 2014, B______ a requis le rejet de cette demande et à ce que A______ soit condamnée à une amende de procédure;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entreprise est une ordonnance d'instruction, clôturant les débats principaux et impartissant un délai aux parties pour le dépôt de leurs plaidoiries finales;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de la recourante, le risque d'un préjudice difficilement réparable n'est pas manifeste; Qu'en effet, le refus implicite d'ordonner la mise sur pied d'une expertise concernant le bien immobilier sis en France pourra, le cas échéant et en cas de jugement défavorable pour elle, être contesté en appel contre le jugement au fond, l'instance d'appel ayant en outre la possibilité d'administrer des preuves (art. 316 al. 3 CPC) ou de renvoyer la cause en première instance pour complément d'instruction (art. 318 al. 1 let. c CPC); Qu'en outre, le seul prolongement de la procédure ne constitue pas un préjudice difficilement réparable; Que le présent recours est donc, prima facie et sans préjudice de l'examen au fond, dénué de chances de succès, car irrecevable; Que, dès lors, la requête de la recourante tendant à la suspension de l'effet exécutoire attaché à l'ordonnance querellée doit être rejetée; Que nonobstant ce qui précède, le recours formé par la recourante n'apparaît pas, de prime abord, dilatoire, de sorte qu'il ne justifie pas de prononcer une amende de procédure;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à l'ordonnance rendue le 16 avril 2014 par le Tribunal de première instance dans la procédure C/5606/2012-17. Dit qu'il sera statué sur les frais et dépens de l'incident avec la décision sur le fond. Déboute les parties de toutes autres conclusions. Siégeant : Madame Nathalie LANDRY-BARTHE, présidente ad interim; Madame Nathalie DESCHAMPS, greffière. La présidente : Nathalie LANDRY-BARTHE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