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C/5582/2020 vom 10. Juni 2021</w:t>
      </w:r>
    </w:p>
    <w:p>
      <w:r>
        <w:t>GE Cour de justice, 2021-06-10, FR</w:t>
      </w:r>
    </w:p>
    <w:p>
      <w:r>
        <w:rPr>
          <w:b/>
        </w:rPr>
        <w:t xml:space="preserve">Quelle: </w:t>
      </w:r>
      <w:r>
        <w:t>https://mcp.opencaselaw.ch/entscheid/ge_gerichte_C_5582_2020</w:t>
      </w:r>
    </w:p>
    <w:p>
      <w:r>
        <w:t>FR: GE_GERICHTE C/5582/2020 du 10 juin 2021</w:t>
      </w:r>
    </w:p>
    <w:p>
      <w:r>
        <w:t>IT: GE_GERICHTE C/5582/2020 del 10 giugno 2021</w:t>
      </w:r>
    </w:p>
    <w:p>
      <w:pPr>
        <w:pStyle w:val="Heading2"/>
      </w:pPr>
      <w:r>
        <w:t>Regeste</w:t>
      </w:r>
    </w:p>
    <w:p>
      <w:r>
        <w:t>CPC.105.al2; CPC.96; LaCC.23; RTFMC.85.al1; RTFMC.88; RTFMC.90</w:t>
      </w:r>
    </w:p>
    <w:p>
      <w:pPr>
        <w:pStyle w:val="Heading2"/>
      </w:pPr>
      <w:r>
        <w:t>Erwägungen</w:t>
      </w:r>
    </w:p>
    <w:p>
      <w:r>
        <w:rPr>
          <w:b/>
        </w:rPr>
        <w:t>E. 26</w:t>
      </w:r>
    </w:p>
    <w:p>
      <w:r>
        <w:t>septembre 2017 consid. 4); Quel'art. 96 CPC, auquel renvoie l'art. 105 al. 2 CPC, dispose que les cantons fixent le tarif des frais; que le canton de Genève a ainsi adopté le règlement 22 décembre 2010 fixant le tarif des frais en matière civile (RTFMC; RS E 1 05.10), fondé sur les art. 19 à 26 de la loi du 11 octobre 2012 d'application du code civil suisse et d'autres lois fédérales en matière civile (LaCC; RS E 1 05); Que dans les contestations portant sur des affaires pécuniaires, le défraiement d'un représentant est, en règle générale, proportionnel à la valeur litigieuse; qu'il est fixé dans les limites figurant dans le règlement du Conseil d'Etat, d'après l'importance de la cause, ses difficultés, l'ampleur du travail et le temps employé (art. 20 al. 1 LaCC et 84 RTFMC); Que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Que sans préjudice de l'art. 23 LaCC, le juge peut s'écarter de plus ou moins 10% du montant calculé selon l'art. 85 RTFMC pour tenir compte de l'importance de la cause, de ses difficultés, de l'ampleur du travail et du temps employé (art. 85 al. 1 RTFMC); Que le juge fixe les dépens d'après le dossier, en chiffres ronds, incluant la taxe sur la valeur ajoutée (art. 26 al. 1 LaCC); que les débours nécessaires sont estimés, sauf éléments contraires, à 3% du défraiement et s'ajoutent à celui-ci (art. 25 LaCC); Qu'en application de l'art. 85 al. 1 RTFMC, pour une valeur litigieuse de 32'241'930 fr. 10, le défraiement d'un représentant professionnel est de 106'400 fr., plus 0,5% de la valeur litigieuse dépassant 10 millions de francs (art. 85 al. 1 RTFMC), soit 111'209 fr., représentant ainsi 217'609 fr. arrondis, montant auquel s'ajoutent les débours de 3% et la TVA de 7,7%, soit un montant total de 240'893 fr. arrondi; Que pour les procédures sommaires, le défraiement est, dans la règle, réduit à 2/3 et au plus à 1/5ème du tarif de l'art. 85 RTFMC (art. 88 RTFMC), soit, pour la valeur litigieuse en question, une fourchette entre 80'297 fr. et 48'178 fr., débours et TVA compris; Qu'en procédure de recours, le défraiement est réduit dans le règle d'un à deux tiers par rapport au tarif de l'art. 85 RTFMC (art. 90 RTFMC), soit, en l'espèce, une fourchette entre 26'765 fr. arrondis et 16'059 fr, débours et TVA inclus; Que la valeur litigieuse est un élément à prendre en considération dans la fixation du défraiement de l'avocat, car elle influe sur la responsabilité de celui-ci (ATF 93 I 116 consid. 5a); qu'elle ne saurait toutefois reléguer à l'arrière-plan le facteur de l'activité déployée par l'homme de loi, dont la rétribution doit rester dans un rapport raisonnable avec la prestation fournie (ATF 93 I 116 consid. 5a; arrêts du Tribunal fédéral 5A_1007/2017 du 6 avril 2018 consid. 2.2.2 et 2.3.3; 5A_171/2014 du 14 juillet 2014 consid. 2.3.2 et les références citées; 4C_1/2011 précité consid. 6.1, in : Pra 2011 p. 623 n° 88; 4A_496/2009 du 2 novembre 2009 consid. 4.1; Corboz, Commentaire de la LTF, 2e éd., 2014, n. 35 ad art. 68 LTF); Qu'à Genève, en l'absence de tarif officiel, il y a lieu de se référer au tarif usuel; que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Qu'en l'espèce, la procédure portait sur une opposition au séquestre obtenu par les intimés le 25 mars 2020 et la valeur litigieuse était de 32'241'930 fr. 10; que s'agissant d'une procédure sommaire, d'un point de vue mathématique, le défraiement, débours et TVA compris, devrait se situer dans une fourchette entre 26'765 fr. arrondis et 16'059 fr., débours et TVA inclus dans la présente procédure de recours; qu'en tenant compte d'une réduction de 10 % fondée sur l'art. 85 al. 1 RTFMC (importance et difficultés de la cause, ampleur du travail et temps employé), on obtiendrait une fourchette entre 24'088 fr. et 14'858 fr., débours et TVA compris; Que les intimés ont chiffré leurs conclusions en allocation des dépens et ont produit une note de frais peu détaillée, pour un montant total de 8'850 fr., correspondant à 17h d'activité, soit 6 heures à 650 fr. de l'heure et 11 heures à un tarif de 450 fr. de l'heure; Que le temps a été consacré à l'examen du recours (11 pages) et de la réplique (2 pages), à la préparation d'une réponse (8 pages) et d'une duplique d'une page et d'un entretien téléphonique avec le client; Que compte tenu de la valeur litigieuse dépassant 10'00'000 fr., de l'enjeu de la procédure, qui consistait pour les intimés à s'opposer à la requête en opposition à séquestre, de la relative difficulté de la cause, ainsi que du travail nécessaire pour répondre aux écritures de la recourante, le montant réclamé par les intimés à titre de dépens apparaît excessif; qu'en effet, tant le tarif horaire de 650 fr., dont le montant n'a pas été explicité au regard du tarif usuellement appliqué à Genève pour un chef d'étude, que du nombre d'heures consacrées, excédant celui nécessaire à une conduite diligente du procès, il se justifie de s'écarter de la note produite et de fixer les dépens des intimés, tous représentés par le même avocat, à 3'000 fr., débours et TVA inclus. * * * * * PAR CES MOTIFS, La Chambre civile : Prend acte du retrait du recours formé le 1 er avril 2021 par A______ HOLDING SA contre le jugement OSQ/16/2021 rendu le 19 mars 2021 par le Tribunal de première instance dans la cause C/5582/2020-4 SQP. Arrête les frais judiciaires de la procédure de recours à 1'000 fr. Les met à la charge de A______ HOLDING SA et dit qu'ils sont compensés avec l'avance de frais fournie, acquise à l'Etat de Genève. Invite les Services financiers du Pouvoir judiciaire à restituer le solde de l'avance de frais en 2'000 fr. à A______ HOLDING SA. Condamne A______ HOLDING SA à verser à C______, D______ et B______., solidairement entre eux, le montant de 3'000 fr. à titre de dépens de recours. Déboute les parties de toutes autres conclusions. Raye la cause du rôle. Siégeant : Madame Pauline ERARD, présidente; Madame Nathalie LANDRY-BARTHE et Monsieur Ivo BUETTI,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