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C/5548/2018 vom 24. Januar 2023</w:t>
      </w:r>
    </w:p>
    <w:p>
      <w:r>
        <w:t>GE Cour de justice, 2023-01-24, FR</w:t>
      </w:r>
    </w:p>
    <w:p>
      <w:r>
        <w:rPr>
          <w:b/>
        </w:rPr>
        <w:t xml:space="preserve">Quelle: </w:t>
      </w:r>
      <w:r>
        <w:t>https://mcp.opencaselaw.ch/entscheid/ge_gerichte_C_5548_2018</w:t>
      </w:r>
    </w:p>
    <w:p>
      <w:r>
        <w:t>FR: GE_GERICHTE C/5548/2018 du 24 janvier 2023</w:t>
      </w:r>
    </w:p>
    <w:p>
      <w:r>
        <w:t>IT: GE_GERICHTE C/5548/2018 del 24 gennaio 2023</w:t>
      </w:r>
    </w:p>
    <w:p>
      <w:pPr>
        <w:pStyle w:val="Heading2"/>
      </w:pPr>
      <w:r>
        <w:t>Erwägungen</w:t>
      </w:r>
    </w:p>
    <w:p>
      <w:r>
        <w:rPr>
          <w:b/>
        </w:rPr>
        <w:t>E. 1</w:t>
      </w:r>
    </w:p>
    <w:p>
      <w:r>
        <w:t>1.1 Interjeté dans les délai et forme prévus par la loi (art. 130, 131, 142 ss et 311 CPC) par une partie qui y a intérêt (art. 59 al. 2 let. a CPC), à l'encontre d'une décision finale (art. 237 et 308 al. 1 let. a CPC), dans une affaire patrimoniale dont la valeur litigieuse au dernier état des conclusions de première instance est supérieure à 10'000 fr. (art. 308 al. 2 CPC), l'appel est recevable.</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En l'espèce, les éléments de fait que l'appelante considérait comme établis de façon inexacte ou incomplète par le Tribunal ont – sur la base des actes et pièces de la procédure – été intégrés dans l'état de fait dressé ci-avant dans la mesure utile.</w:t>
      </w:r>
    </w:p>
    <w:p>
      <w:r>
        <w:rPr>
          <w:b/>
        </w:rPr>
        <w:t>E. 2</w:t>
      </w:r>
    </w:p>
    <w:p>
      <w:r>
        <w:t>L'appelante reproche au Tribunal d'avoir retenu qu'elle n'avait pas démontré que l'EBITDA était d'un montant inférieur à celui mentionné dans la convention de vente, malgré que l'expert ait conclu que certains montants devaient en être déduits. Selon elle, l'EBITDA retraité 2015, que l'intimé avait garanti être " d'environ 540'000 fr. ", avait été arrêté sur la base d'informations erronées et était en réalité inférieur de 235'357 fr. 85. La chose vendue était donc entachée d'un défaut qui aurait dû conduire le Tribunal à admettre une diminution du prix de vente – qui correspondait à un multiple de l'EBITDA (7,22) – de 1'699'283 fr. 70. L'intimé soutient quant à lui que l'appelante ne l'avait pas avisé des défauts en temps utile. Il se justifie de traiter l'argument de l'intimé en priorité, car l'admettre reviendrait à rejeter les prétentions de l'appelante. 2.1.1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(Tercier/Bieri/Carron, Les contrats spéciaux, 5 ème éd., 2016, n° 661), c'est-à-dire antérieur à la conclusion du contrat de vente (Venturi/Zen-Ruffinen, op. cit . n° 9 ad art. 197 CO). La preuve de ces conditions incombe à l'acheteur (Tercier/ Bieri/Carron, op. cit. , n° 656). 2.1.2 Aux termes de l'art. 205 al. 1 CO, dans les cas de garantie en raison des défauts de la chose, l’acheteur a le choix ou de faire résilier la vente en exerçant l’action rédhibitoire, ou de réclamer par l’action en réduction de prix une indemnité pour la moins-value. L'action en réduction de prix de l'art. 205 al. 1 CO ne tend pas à la réparation d'un préjudice par l'obtention de dommages-intérêts, mais à rétablir l'équilibre des prestations réciproques des parties, laquelle est à la base des contrats synallagmatiques. Pour déterminer le prix après réduction, dans le contrat de vente, il faut diviser le prix convenu par le rapport existant entre la valeur objective de la chose supposée sans défauts et la valeur objective réelle de la chose. Pour faciliter le calcul de la réduction selon la méthode dite relative, la jurisprudence a établi deux présomptions : premièrement, la valeur de la chose exempte de défauts est égale au prix de vente convenu par les parties; secondement, la moins-value est égale au coût de l'élimination du défaut. Par analogie avec la situation régie par l'art. 42 al. 2 CO, il appartient au juge de déterminer équitablement le montant de la réduction lorsqu'il est difficile de le constater exactement (arrêts du Tribunal fédéral 4A_601/2009 du 8 février 2010 consid. 3.2.6; 4C_461/2004 du 15 mars 2005 consid. 2). 2.1.3 Aux termes de l'art. 201 al. 1 CO, l’acheteur a l’obligation de vérifier l’état de la chose reçue aussitôt qu’il le peut d’après la marche habituelle des affaires; s’il découvre des défauts dont le vendeur est garant, il doit l’en aviser sans délai. Cette disposition est de droit dispositif, de sorte que les parties peuvent s'accorder pour modifier ce régime (Venturi/Zen-Ruffinen, Commentaire romand, Code des obligations I, 2021, n° 5 ad art. 201 CO). Selon la jurisprudence du Tribunal fédéral, il appartient à l'acheteur de prouver qu'il a respecté son devoir lorsque le vendeur allègue la tardiveté de l'avis des défauts (ATF 118 II 142 consid. 3a; 107 II 50 consid. 2a; arrêts du Tribunal fédéral 4A_28/2017 du 28 juin 2017 consid. 4; 4A_405/2017 du 30 novembre 2017 consid. 3.3). 2.2.1 Dérogeant au système légal, les parties sont convenues en l'espèce, s'agissant des délais de garantie, que l'appelante devrait, sous peine d'être déchue de son droit à la garantie, notifier à l'intimé toute demande d'indemnisation (" appel en garantie ") dans les 30 jours à compter de la découverte de l'état de fait justifiant sa demande, respectivement, s'agissant d'un appel en garantie lié à une prétention soulevée par un tiers contre une des sociétés acquises, dans les 10 jours ouvrables dès la réception de la prétention du tiers (art. 8.3 de la convention du 12 septembre 2016; cf . consid. g). 2.2.2 Les parties sont également convenues d'une garantie du niveau de l'EBITDA, l'intimé certifiant " que l'EBITDA retraité présent [ait] un niveau d'environ CHF 540'000.- pour l'année 2015 ". L'appelante soutient que l'EBITDA retraité pour l'année 2015 serait en réalité inférieur, exposant que celui-ci devrait être réduit de : o   111'835 fr. 75 au motif que le montant des factures concernant les travaux exécutés par l'employé W______ pour le client S______ SA n'avait pas été déduit de l'EBITDA retraité pour l'année 2015 alors qu'il aurait dû l'être, selon elle;![endif]&gt;![if&gt; o   16'953 fr. 60 correspondant à des travaux exécutés par l'employé V______ pour le client S______ SA qui n'avaient pas été déduits de l'EBITDA retraité pour l'année 2015 alors qu'ils auraient dû l'être, selon elle;![endif]&gt;![if&gt; o   108'018 fr. 50 correspondant au montant facturé en 2015 à K______ SA, société détenue par l'intimé, qui n'avait pas été déduit de l'EBITDA retraité pour l'année 2015 alors qu'il aurait dû l'être, selon elle;![endif]&gt;![if&gt; o   620 fr. 95 correspondant à un redressement AVS pour l'exercice 2015, qui n'avait pas été déduit de l'EBITDA retraité pour l'année 2015 alors qu'il aurait dû l'être, selon elle. ![endif]&gt;![if&gt; 2.2.3 Chacune de ces réductions, pour autant qu'elle soit justifiée, constitue un défaut de la chose vendue, puisqu'elle correspond à une moins-value de l'EBITDA garanti par l'intimé. Pour que l'appelante puisse s'en prévaloir, il faut qu'elle en ait valablement avisé l'intimé par un appel en garantie dans le délai convenu. L'appelante a notifié deux appels en garantie à l'intimé : 2.2.3.1 Le premier lui a été adressé par courrier recommandé du 6 octobre 2017. Il dénonçait la disparition du chiffre d'affaires lié au client K______ SA en 2016, alors qu'il était de 108'018 fr. en 2015, et l'absence de retraitement d'un montant de 155'915 fr. lié au client S______ SA, ce qui diminuait la valeur réelle de l'EBITDA retraité 2015 et entraînait une réduction du prix de vente de l'ordre de 1'905'596 fr. Dans son courrier de réponse, l'intimé a contesté tant sa responsabilité que le respect du délai d'appel en garantie. La contestation du respect du délai de garantie a été réitérée par l'intimé dans les écritures qu'il a déposées devant le premier juge, de sorte qu'il incombait à l'appelante de démontrer le respect de ce délai. Pourtant, l'appelante n'a pas allégué à quel moment elle aurait eu connaissance des faits qui, selon elle, fondaient ce premier appel à garantie, ni offert de le prouver. Dans la mesure où elle a eu accès à l'ensemble de la comptabilité des sociétés qu'elle a acquises ainsi qu'à l'ensemble de la documentation de ces sociétés le 13 octobre 2016 (moment du closing ) et qu'elle n'explique pas les raisons qui l'ont conduite à attendre le 6 octobre 2017, soit près d'une année, pour notifier son appel en garantie, celui-ci sera considéré comme tardif; l'appelante sera ainsi déchue de son droit à la garantie s'agissant des défauts invoqués dans l'appel du 6 octobre 2017, sous réserve d'un éventuel comportement dolosif de l'intimé ( cf. consid. 3 ci-après). 2.2.3.2 L'appelante a notifié un deuxième appel en garantie à l'intimé par courrier recommandé du 1 er décembre 2017 pour un montant de 5'941 fr. 90 en raison de prétentions élevées à son encontre par la Caisse [de compensation AVS] AB______. L'intimé a contesté par courrier du 6 décembre 2017, ainsi qu'à l'occasion de ses écritures de première instance, que l'appel en garantie ait été notifié dans le délai convenu, de sorte qu'il appartenait à cette dernière de démontrer qu'elle avait respecté cette incombance. Or, l'appelante a réceptionné le courrier de la Caisse [de compensation AVS] AB______ le 3 novembre 2017. Aussi, son appel en garantie a été formulé après l'échéance du délai conventionnel de dix jours applicable aux prétentions de tiers, sans que l'appelante n'allègue les éventuelles raisons justifiant ce retard. Par conséquent, cet appel en garantie sera également considéré comme tardif, sous réserve d'un éventuel comportement dolosif de l'intimé ( cf. consid. 3 ci-après).</w:t>
      </w:r>
    </w:p>
    <w:p>
      <w:r>
        <w:rPr>
          <w:b/>
        </w:rPr>
        <w:t>E. 3</w:t>
      </w:r>
    </w:p>
    <w:p>
      <w:r>
        <w:t>L'appelante reproche au premier juge d'avoir retenu que la procédure n'avait pas permis de démontrer que l'intimé connaissait le caractère grossièrement incomplet et frauduleusement trompeur des informations communiquées pour déterminer l'EBITDA, de sorte que l'appelante ne pouvait se prévaloir de la mauvaise foi de l'intimée, ce qui lui aurait permis de s'affranchir du respect du délai d'appel à la garantie.</w:t>
      </w:r>
    </w:p>
    <w:p>
      <w:r>
        <w:rPr>
          <w:b/>
        </w:rPr>
        <w:t>E. 3.1</w:t>
      </w:r>
    </w:p>
    <w:p>
      <w:r>
        <w:t>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arrêt du Tribunal fédéral 4A_70/2011 du 12 avril 2011 consid. 4.1). L'expression doit être entendue de manière large : le vendeur peut induire intentionnellement l'acheteur en erreur (en lui dissimulant des défauts ou en simulant des qualités), mais aussi exploiter l'erreur dans laquelle se trouve l'acheteur (Venturi/Zen-Ruffinen, op. cit. , n° 3 ad art. 199 CO). 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 7 septembre 2010 consid. 3.2). S'agissant du devoir d'informer l'acheteur, il n'existe pas si le vendeur peut valablement supposer, selon les règles de la bonne foi, que ces défauts étaient à l'évidence connus de l'acheteur (Tercier/Bieri/ Carron, op. cit. , n. 826; Venturi/Zen-Ruffinen, op. cit. , n. 3 ad art. 199 CO et la référence citée). C'est en particulier le cas des défauts dont l'acheteur aurait dû s'apercevoir en faisant preuve de l'attention appropriée; il suffit en principe que l'acheteur fasse preuve de "l'attention habituelle" (cf. art. 200 CO).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4A_70/2011 du 12 avril 2011 consid. 4.1). La clause limitative ou exclusive de garantie demeure valable s'agissant des défauts que le vendeur n'a pas frauduleusement dissimulés (Venturi/Zen-Ruffinen, op. cit. , n. 4 ad art. 199 CO). Le fardeau de la preuve de la dissimulation frauduleuse incombe à l'acheteur (ATF 131 III 145 consid. 8.1).</w:t>
      </w:r>
    </w:p>
    <w:p>
      <w:r>
        <w:rPr>
          <w:b/>
        </w:rPr>
        <w:t>E. 3.2</w:t>
      </w:r>
    </w:p>
    <w:p>
      <w:r>
        <w:t>En l'espèce, l'appelante soutient que l'intimé lui aurait sciemment caché des éléments qu'il ne pouvait ignorer, notamment le fait que le montant des travaux exécutés par W______ pour un total de 111'835 fr. 75 et le montant de ceux exécutés par V______ pour un total de 16'953 fr. 60 auraient dû être retraités, de même que le montant des travaux exécutés pour le compte de K______ SA en 2015 pour un total de 108'018 fr. 50. Il s'agit donc d'examiner, pour chacun de ces montants, si les faits qui auraient dû, selon l'appelante, conduire à leur retraitement ont été sciemment dissimulés par l'intimé.</w:t>
      </w:r>
    </w:p>
    <w:p>
      <w:r>
        <w:rPr>
          <w:b/>
        </w:rPr>
        <w:t>E. 3.2.1</w:t>
      </w:r>
    </w:p>
    <w:p>
      <w:r>
        <w:t>S'agissant du prix des travaux exécutés par W______ , l'expert judiciaire a conclu qu'ils auraient dû faire l'objet d'un retraitement. L'appelante expose que, compte tenu de l'ampleur des documents qu'elle avait à analyser dans le cadre de sa due diligence , il lui était impossible de vérifier toutes les factures émises par les sociétés objet de l'acquisition et qu'elle avait donc accordé une confiance particulière à l'intimé. Il est établi que, pour l'accomplissement de sa due diligence , l'appelante a disposé des documents comptables de E______ SA et de ses filiales (à l'exception de ceux de I______ SA qui n'était pas comprise dans le périmètre d'acquisition) sous format papier et qu'elle n'a pu les consulter que dans les locaux de E______ SA, ce qui avait compliqué leur analyse dans le cadre de cette due diligenc e. De même, l'appelante a accordé une confiance particulière aux informations qui lui avaient été transmises par l'intimé dans le cadre de cette due diligence , notamment s'agissant des retraitements, ce qui ressort des courriels adressés à l'intimé les 15 juillet et 4 août 2016. L'importance conférée par l'appelante à la fiabilité des informations transmises par l'intimé a été formalisée à l'article 6 let. s de la convention, qui stipule qu'elles avaient été communiquées de bonne foi. De même, les parties sont convenues que les vérifications du niveau de l'EBITDA retraité pour l'année 2015 faites par l'appelante reposaient sur les éléments fournis par les vendeurs. Malgré ces garanties, l'intimé n'a pas fourni à l'appelante les informations lui permettant de retraiter les factures des prestations de W______. En effet, après que l'appelante avait mené sa due diligence, elle a établi un tableau de retraitement sur la base duquel l'EBITDA retraité pour l'année 2015 était de 445'251 fr., qui a été soumis à l'intimé pour qu'il formule ses observations. Il ne ressort pas de ses observations que le montant des travaux exécutés par W______ aurait dû faire l'objet d'un retraitement. La question de savoir si la vérification insuffisante des retraitements par l'intimé pourrait contrevenir aux garanties données souffre de demeurer indécise. En effet, il ne suffit pas que tel soit le cas pour admettre un comportement dolosif, lequel n'est pas réalisé si l'intimé ignorait qu'il fallait procéder à ce retraitement, même si cette ignorance découlait d'une négligence grave de sa part. Il appartenait donc à l'appelante de démontrer que l'intimé avait connaissance du fait qu'il fallait procéder au retraitement concerné et qu'il l'avait dissimulé. Or, aucun élément ne permet de retenir que l'intimé savait que ce retraitement devait être effectué. En particulier, le fait allégué selon lequel l'intimé serait un homme rompu aux affaires et qu'il ne pouvait pas ignorer cela, puisqu'il connaissait bien les sociétés qu'il contrôlait, ne suffit pas à lui faire grief d'avoir ignoré la nécessité de retraiter un élément aussi particulier. De même, le fait que l'intimé n'ait permis à l'appelante d'effectuer sa due diligence que sur la base d'éléments papiers, dans ses locaux et sans pouvoir emporter la documentation mise à sa disposition, s'explique par des impératifs de discrétion s'agissant de la négociation d'une vente d'un groupe de sociétés à un concurrent direct. Aussi, il ne peut être retenu que cette manière de procéder aurait eu pour objectif de conforter l'appelante dans l'erreur s'agissant d'éléments à retraiter. Après le closing , l'appelante disposait encore d'un délai de trente jours pour se prévaloir de la garantie. Une vérification et un avis dans ce délai lui auraient permis de sauvegarder ses droits. Il découle de ce qui précède que l'appelante n'est pas parvenue à démontrer que l'intimé l'aurait sciemment induite en erreur, de sorte que ce dernier était fondé à se prévaloir de la tardiveté de l'avis des défauts.</w:t>
      </w:r>
    </w:p>
    <w:p>
      <w:r>
        <w:rPr>
          <w:b/>
        </w:rPr>
        <w:t>E. 3.2.2</w:t>
      </w:r>
    </w:p>
    <w:p>
      <w:r>
        <w:t>S'agissant du montant des travaux exécutés par V______, l'expert judicaire a exposé qu'il lui avait été indiqué par l'intimé que les charges liées aux prestations effectuées par cet employé avaient été refacturées par I______ SA à E______ SA et que si tel avait été le cas, c'était à raison que ce montant n'avait pas été retraité. L'expert n'a pas pu vérifier l'existence de cette refacturation, faute pour l'appelante de lui avoir fourni les documents utiles, ce qui lui incombait pourtant puisqu'elle supportait le fardeau de la preuve du dol. Aussi, il lui appartenait de démontrer qu'un élément factuel lui avait été dissimulé, ce qui suppose en particulier l'existence du fait en question. Sous réserve de cette prétendue absence de refacturation qu'elle n'a pas démontrée, l'appelante n'expose pas pour quel motif il conviendrait de s'écarter des conclusions de l'expert. Aussi, faute pour elle d'avoir démontré que le montant des travaux exécutés par V______ aurait dû être retraité, elle n'a pas établi l'existence d'un défaut, ni a fortiori , que ledit défaut lui avait été sciemment dissimulé. En conséquence, le dol ne sera pas retenu pour les travaux exécutés par V______, de sorte que l'intimé pouvait se prévaloir de la tardivité de l'avis des défauts y relatif.</w:t>
      </w:r>
    </w:p>
    <w:p>
      <w:r>
        <w:rPr>
          <w:b/>
        </w:rPr>
        <w:t>E. 3.2.3</w:t>
      </w:r>
    </w:p>
    <w:p>
      <w:r>
        <w:t>S'agissant des travaux exécutés pour le compte de K______ SA en 2015, l'expert judiciaire a considéré que c'était à raison qu'ils n'avaient pas fait l'objet d'un retraitement car la mention des prestations effectuées pour ce client était justifiée. L'appelante conteste ce constat de l'expert, estimant que le montant de 108'018 fr. 50 aurait dû être retraité dans la mesure où les prestations fournies à cette société n'étaient pas comprises dans le périmètre d'acquisition, voire qu'aucune prestation n'avait été réalisée. Selon elle l'intimé aurait dû, à tout le moins, attirer son attention sur le fait que ce chiffre d'affaires n'était pas récurrent. L'appelante n'apporte aucun élément démontrant que les prestations fournies à cette société n'auraient pas été effectuées ou respectivement ne constitueraient pas des prestations de nettoyage entrant dans le périmètre d'acquisition, ce qu'elle présente d'ailleurs sous la forme de supposition (" l'appelante reste convaincue "). Elle n'expose pas les raisons pour lesquelles l'intimé aurait été tenu d'attirer son attention sur le fait que le chiffre d'affaires réalisé en lien avec le client K______ SA n'était pas récurrent. Aucune question n'a été adressée à l'intimé sur une telle récurrence et il n'est pas allégué, ni établi que l'intimé aurait amené l'appelante à croire que ce chiffre d'affaires serait récurrent. Au contraire, il pouvait de bonne foi croire que l'appelante, qui avait mené une due diligence – certes limitée – était consciente du caractère non récurrent de certains postes. D'ailleurs, selon le témoin P______, l'appelante avait pu, avant la conclusion de la convention litigieuse, consulter les exercices comptables 2013 et 2014 du groupe E______, de sorte qu'elle disposait de l'information selon laquelle aucun montant n'avait été facturé à K______ SA en 2013 et 2014. Elle ne pouvait donc inférer du fait qu'un montant avait été facturé en 2015 que les prestations fournies à ce client se répéteraient d'année en année. La clause prévoyant que " le vendeur ne dispose d'aucune information selon laquelle l'un ou l'autre des contrats en portefeuille dans l'une ou l'autre des autres sociétés vendues serait susceptible d'être remis en cause par un client, pour quelque motif que ce soit " n'est pas pertinente, car il n'est pas allégué ni établi que K______ SA aurait résilié un contrat de durée la liant au groupe E______. L'appelante savait par ailleurs que cette société était détenue par l'intimé – cela étant mentionné en préambule de leur convention – de sorte qu'il lui était loisible de requérir de l'intimé qu'il lui donne des assurances quant au fait que K______ SA confierait d'autres prestations de nettoyage au groupe E______, ce qu'elle n'a pas fait. Par conséquent, l'appelante n'est pas parvenue à démontrer que l'intimé aurait dissimulé à l'appelante des informations relatives au retraitement du chiffre d'affaires réalisé par le groupe E______ en lien avec le client K______ SA en 2015. L'intimé était donc fondé à se prévaloir du caractère tardif de l'avis des défauts.</w:t>
      </w:r>
    </w:p>
    <w:p>
      <w:r>
        <w:rPr>
          <w:b/>
        </w:rPr>
        <w:t>E. 3.2.4</w:t>
      </w:r>
    </w:p>
    <w:p>
      <w:r>
        <w:t>En conséquence, dans la mesure où les défauts dont se prévaut l'appelante n'ont pas fait l'objet d'un avis formulé en temps utile et ne lui ont pas été intentionnellement cachés, la responsabilité de l'intimé sera rejetée indépendamment de l'existence éventuelle de ces défauts. Le jugement sera donc confirmé par substitution de motif.</w:t>
      </w:r>
    </w:p>
    <w:p>
      <w:r>
        <w:rPr>
          <w:b/>
        </w:rPr>
        <w:t>E. 4</w:t>
      </w:r>
    </w:p>
    <w:p>
      <w:r>
        <w:t>Les frais judiciaires d'appel seront arrêtés à 36'000 fr. et mis à la charge de l'appelante, qui succombe (art. 95, 96 et 106 al. 1 CPC; art. 17 et 35 RTFMC). Ils seront compensés avec l'avance fournie, qui reste acquise à l'Etat de Genève (art. 98 et 111 al. 1 CPC). L'appelante sera, en outre, condamnée à verser 27'500 fr. à l'intimée à titre de dépens d'appel, débours et TVA compris (art. 85 et 90 RTFMC, art. 25 et 26 LaCC). * * * * * PAR CES MOTIFS, La Chambre civile : A la forme : Déclare recevable l'appel interjeté par A______ SA contre le jugement JTPI/14432/2021 rendu le 15 novembre 2021 par le Tribunal de première instance dans la cause C/5548/2018. Au fond : Confirme le jugement entrepris. Déboute les parties de toutes autres conclusions. Sur les frais : Arrête les frais judiciaires d'appel à 36'000 fr., les met à la charge de A______ SA et les compense avec l'avance de frais de même montant qu'elle a versée, laquelle reste acquise à l'Etat de Genève. Condamne A______ SA à verser 27'500 fr. à B______ à titre de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