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C/5231/2010 vom 5. März 2012</w:t>
      </w:r>
    </w:p>
    <w:p>
      <w:r>
        <w:t>GE Cour de justice, 2012-03-05, FR</w:t>
      </w:r>
    </w:p>
    <w:p>
      <w:r>
        <w:rPr>
          <w:b/>
        </w:rPr>
        <w:t xml:space="preserve">Quelle: </w:t>
      </w:r>
      <w:r>
        <w:t>https://mcp.opencaselaw.ch/entscheid/ge_gerichte_C_5231_2010</w:t>
      </w:r>
    </w:p>
    <w:p>
      <w:r>
        <w:t>FR: GE_GERICHTE C/5231/2010 du 5 mars 2012</w:t>
      </w:r>
    </w:p>
    <w:p>
      <w:r>
        <w:t>IT: GE_GERICHTE C/5231/2010 del 5 marzo 2012</w:t>
      </w:r>
    </w:p>
    <w:p>
      <w:pPr>
        <w:pStyle w:val="Heading2"/>
      </w:pPr>
      <w:r>
        <w:t>Regeste</w:t>
      </w:r>
    </w:p>
    <w:p>
      <w:r>
        <w:t>JUSTE MOTIF; GRAVITÉ DE LA FAUTE; INDEMNITÉ(EN GÉNÉRAL); PREUVE; VIOLATION DU SECRET PROFESSIONNEL(DROIT PÉNAL); SUBROGATION; CAISSE DE CHÔMAGE; RÉSILIATION | CO.337; CO.337c; CO.340c.2; CPC.160.1.b; LACI.11.3; LACI.11a</w:t>
      </w:r>
    </w:p>
    <w:p>
      <w:pPr>
        <w:pStyle w:val="Heading2"/>
      </w:pPr>
      <w:r>
        <w:t>Erwägungen</w:t>
      </w:r>
    </w:p>
    <w:p>
      <w:r>
        <w:rPr>
          <w:b/>
        </w:rPr>
        <w:t>E. 2</w:t>
      </w:r>
    </w:p>
    <w:p>
      <w:r>
        <w:t>2.1. Les parties ne sont pas recevables à présenter, en appel, des faits et moyens de preuve nouveaux, lorsque ces éléments pouvaient être invoqués ou présentés en première instance déjà (cf. art. 317 let. 1 a et b CPC).</w:t>
      </w:r>
    </w:p>
    <w:p>
      <w:r>
        <w:rPr>
          <w:b/>
        </w:rPr>
        <w:t>E. 2.2</w:t>
      </w:r>
    </w:p>
    <w:p>
      <w:r>
        <w:t>Par ailleurs, à teneur de l'art. 317 let. 2 a et b CPC, la demande ne peut pas être modifiée, à moins que cette modification ne repose sur des faits ou moyens de preuve nouveaux et (condition cumulative; cf. Jeandin in: B/H/J/S/T, op. cit., N. 10 ad art. 317 CPC) que les conditions fixées à l'art. 227 al. 1 CPC soient remplies, à savoir a) la prétention nouvelle ou modifiée présente un lien de connexité avec la dernière prétention, et b) la partie adverse consent à la modification de la demande. La doctrine ajoute que la prétention nouvelle ou modifiée doit concerner la même procédure, voire le même type de procédure ( Frei/Willisegger , in: Spühler/Tenchio/Infanger, Schweizerische Zivilpro-zessordnung [BaK-ZPO], Bâle, 2010, N. 20 ad art. 217 CPC).</w:t>
      </w:r>
    </w:p>
    <w:p>
      <w:r>
        <w:rPr>
          <w:b/>
        </w:rPr>
        <w:t>E. 2.2.1</w:t>
      </w:r>
    </w:p>
    <w:p>
      <w:r>
        <w:t>Il va de soi qu'une partie est toujours recevable à n'importe quelle stade de la procédure, à diminuer le montant de ses prétentions (art. 227 al. 3 CPC). Juridiquement, une telle démarche est assimilée à une réduction partielle de la demande au sens de l'art. 241 CPC ( Tappy , in: B/H/J/S/T, op. cit., N. 11 ad art. 241 CPC; Seiler , op. cit., p. 563).</w:t>
      </w:r>
    </w:p>
    <w:p>
      <w:r>
        <w:rPr>
          <w:b/>
        </w:rPr>
        <w:t>E. 2.3</w:t>
      </w:r>
    </w:p>
    <w:p>
      <w:r>
        <w:t>La procédure d'appel reste régie par les maximes et règles de base applicables en première instance (cf. Jeandin in: B/H/J/S/T, op. cit., N. 6 ad art. 316 CPC). Cela concerne en particulier l'administration des preuves, et notamment, la question de la licéité de certaines preuves.</w:t>
      </w:r>
    </w:p>
    <w:p>
      <w:r>
        <w:rPr>
          <w:b/>
        </w:rPr>
        <w:t>E. 2.3.1</w:t>
      </w:r>
    </w:p>
    <w:p>
      <w:r>
        <w:t>Ainsi, une partie n'est tenue de produire ni de se laisser produire des pièces qui, de par leur nature, tombent clairement dans le cadre du secret professionnel de son avocat (cf. art. 160 al. 1 let. b in fine CPC). Le secret s'attache au document, même lorsqu'il tombe, par mégarde, en mains d'une tierce personne – notamment en mains de la partie adverse ou du conseil de celle-ci (ibid, N. 16 ad art. 160 CPC). Peu importe aussi que ce dernier ou sa cliente ait pu en gagner la possession à la faveur d'une procédure parallèle à laquelle le maître du secret n'est pas partie. Le secret s'impose erga omnes , y compris aux autorités ( Fellmann/Zindel , Kommentar zum Anwaltsgesetz, Zurich, 2011, N. 91 ad art. 3 LLCC). Le juge ne saurait vouloir tenir compte, entre autres, de pièces ou correspondances qu'un avocat a adressées à son client, ou que ce client a adressées à son avocat, sans que le maître du secret n'ait donné son consentement à leur production en justice ( Jeandin , in: B/H/J/S/T, op. cit., N. 18 ad art. 160 CPC; Schmid in: Spühler/Tenchio/Infanger, op. cit, N.17 ad art. 160 CPC).</w:t>
      </w:r>
    </w:p>
    <w:p>
      <w:r>
        <w:rPr>
          <w:b/>
        </w:rPr>
        <w:t>E. 2.4</w:t>
      </w:r>
    </w:p>
    <w:p>
      <w:r>
        <w:t>En l'espèce, l'appelante 1 méconnaît ces principes.</w:t>
      </w:r>
    </w:p>
    <w:p>
      <w:r>
        <w:rPr>
          <w:b/>
        </w:rPr>
        <w:t>E. 2.4.1</w:t>
      </w:r>
    </w:p>
    <w:p>
      <w:r>
        <w:t>Elle présente en appel une pièce – la pièce 7 dem/app – qu'elle eût été parfaitement à même de produire déjà en première instance; en effet, sa datation ne laisse planer aucun doute: elle provient de la même source que la pièce/liasse 11bis qu'elle avait produite lors de l'audience du Tribunal du 15 septembre 2010. Ensuite, elle présente ces pièces en violation claire du secret professionnel qui leur reste attaché – le défendeur/intimé n'ayant pas renoncé à ce secret et s'étant opposé, pour ce motif, à leur production. En conséquence, il ne sera pas tenu compte de ces deux pièces (pièce/liasse 11 bis; pièce 7 déf/app).</w:t>
      </w:r>
    </w:p>
    <w:p>
      <w:r>
        <w:rPr>
          <w:b/>
        </w:rPr>
        <w:t>E. 2.4.2</w:t>
      </w:r>
    </w:p>
    <w:p>
      <w:r>
        <w:t>Enfin, la conclusion tendant au prononcé de la mainlevée (définitive) de l'opposition dans la poursuite No. 11 133792 B du 11 avril 2011 s'avère irrecevable pour la bonne et simple raison que celle-ci n'est pas seulement nouvelle, mais relève d'une autre procédure – à savoir de la procédure sommaire (cf. art. 251 CPC) - qui appelle, elle-aussi, au respect du double degré de juridiction. Certes, le juge du fond (et partant, le juge prud'homal) reste toujours matériellement compétent, s'il est saisi de conclusions condamnatoires, pour statuer également sur une demande de mainlevée définitive; mais encore faut-il que celle-ci ait été déposée déjà en première instance de la procédure au fond ou que le débiteur ait consenti à ce que la requête fût présentée pour la première fois en appel. Ces conditions ne sont pas réunies en l'espèce.</w:t>
      </w:r>
    </w:p>
    <w:p>
      <w:r>
        <w:rPr>
          <w:b/>
        </w:rPr>
        <w:t>E. 3.1</w:t>
      </w:r>
    </w:p>
    <w:p>
      <w:r>
        <w:t>Le litige met successivement en cause trois notions: la notion de justes motifs au sens de l'art. 337 CO; la notion de faute grave au sens de l'art. 6.2. du contrat, et la notion de motif justifié au sens de l'art. 340 c al. 2 CO.</w:t>
      </w:r>
    </w:p>
    <w:p>
      <w:r>
        <w:rPr>
          <w:b/>
        </w:rPr>
        <w:t>E. 3.2</w:t>
      </w:r>
    </w:p>
    <w:p>
      <w:r>
        <w:t>Justes motifs - Condition de fond centrale du licenciement immédiat justifié est l'existence de justes motifs . Sont considérés comme telles toutes les circonstances, qui selon les règles de la bonne foi, ne permettent pas d'exiger de celui qui donne le congé la continuation des rapports de travail (art. 337 al. 2 CO). La confiance mutuelle que présupposent des rapports de travail – rapports de collaboration étroite – doit avoir été irrémédiablement détruite, ou à tout le moins sérieusement ébranlée, par le fait de l'une des parties au point que pour l'autre partie le maintien de ces rapports – ne fût-ce que pour la durée d'un délai de congé ou du solde de la durée déterminée – est devenu "unzumutbar" (ATF 130 III 2 c. 4.1; 129 III 380 c. 2 et 3.1; 127 III 351 c. 4).</w:t>
      </w:r>
    </w:p>
    <w:p>
      <w:r>
        <w:rPr>
          <w:b/>
        </w:rPr>
        <w:t>E. 3.2.1</w:t>
      </w:r>
    </w:p>
    <w:p>
      <w:r>
        <w:t>La jurisprudence du Tribunal fédéral pose deux conditions cumulatives pour retenir l'existence d'un juste motif: le manquement imputé au partenaire contractuel doit être objectivement grave et, subjectivement, il doit avoir effectivement détruit le lien de confiance, indispensable au maintien des rapports de travail (ATF 129 III380 c. 3.1).</w:t>
      </w:r>
    </w:p>
    <w:p>
      <w:r>
        <w:rPr>
          <w:b/>
        </w:rPr>
        <w:t>E. 3.2.2</w:t>
      </w:r>
    </w:p>
    <w:p>
      <w:r>
        <w:t>Le Tribunal a considéré, en l'espèce, que la défenderesse (ci-devant l'appelante) ne pouvait se prévaloir de justes motifs à l'appui du licenciement immédiat du demandeur (ci-devant l'intimé).</w:t>
      </w:r>
    </w:p>
    <w:p>
      <w:r>
        <w:rPr>
          <w:b/>
        </w:rPr>
        <w:t>E. 3.2.3</w:t>
      </w:r>
    </w:p>
    <w:p>
      <w:r>
        <w:t>L'appelante ne remet plus en cause l'absence d'un juste motif , mais affirme que l'intimé a commis, ce nonobstant, une faute grave . Bref, elle reconnaît devoir le salaire afférent au préavis contractuel non respecté – conformément à l'art. 337 c al. 1 CO – mais conteste devoir en sus (respectivement en lieu et place) l'indemnité de licenciement prévue à l'art. 6.2 du contrat.</w:t>
      </w:r>
    </w:p>
    <w:p>
      <w:r>
        <w:rPr>
          <w:b/>
        </w:rPr>
        <w:t>E. 3.3</w:t>
      </w:r>
    </w:p>
    <w:p>
      <w:r>
        <w:t>Faute grave.- Les parties sont en désaccord quant à l'interprétation à donner à cette notion centrale de leur contrat.</w:t>
      </w:r>
    </w:p>
    <w:p>
      <w:r>
        <w:rPr>
          <w:b/>
        </w:rPr>
        <w:t>E. 3.3.1</w:t>
      </w:r>
    </w:p>
    <w:p>
      <w:r>
        <w:t>Pour interpréter un contrat – respectivement une clause ou une notion utilisée dans un contrat – le juge doit commencer par rechercher la réelle et commune intention des parties, le cas échéant sur la base d'indices (cf. art. 18 al. 1 CO). Lorsque la volonté intime et concluante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de l'ensemble des circonstances dans lesquelles elles ont été émises; il s'agit de l'interprétation dite objective (TF 4A_310/2008 du 25. 9. 2008 cons. 3.1 in: JAR 2010 p. 377; ATF 133 III 675 ; 132 III 268 cons. 2.3.2; 131 III 606 cons.4.2).</w:t>
      </w:r>
    </w:p>
    <w:p>
      <w:r>
        <w:rPr>
          <w:b/>
        </w:rPr>
        <w:t>E. 3.3.2</w:t>
      </w:r>
    </w:p>
    <w:p>
      <w:r>
        <w:t>La Cour n'a pu déterminer la volonté réelle et commune des parties par rapport à la notion de faute grave , notion centrale pour le mécanisme de l'art. 6.2 du contrat. Il convient donc de procéder à son interprétation objective, en tenant compte du contexte et des circonstances du cas concret.</w:t>
      </w:r>
    </w:p>
    <w:p>
      <w:r>
        <w:rPr>
          <w:b/>
        </w:rPr>
        <w:t>E. 3.3.3</w:t>
      </w:r>
    </w:p>
    <w:p>
      <w:r>
        <w:t>A ce propos, force est relever le fait que les deux personnes ayant rédigé le contrat ont baigné dans un environnement français: D______, directeur de l'appelante 1, est ressortissant français; l'intimé pour sa part a travaillé dans un établissement bancaire français à Genève où, de façon notoire, le référentiel aux notions juridiques françaises, y compris dans les contrats de travail, est important.</w:t>
      </w:r>
    </w:p>
    <w:p>
      <w:r>
        <w:rPr>
          <w:b/>
        </w:rPr>
        <w:t>E. 3.3.4</w:t>
      </w:r>
    </w:p>
    <w:p>
      <w:r>
        <w:t>Or, tant l'institution de l'indemnité de licenciement que la notion de faute grave relèvent du droit du travail français . Ainsi, l'art. L 1234-9 al. 1 du Code du travail français énonce que "le salarié titulaire d'un contrat de travail à durée indéterminée, licencié alors qu'il compte [au moins] une année d'ancienneté ininterrompue au service du même employeur, a droit, sauf en cas de faute grave, à une indemnité de licenciement" (source: Dalloz, Code du travail, 72 e éd., 2010).</w:t>
      </w:r>
    </w:p>
    <w:p>
      <w:r>
        <w:rPr>
          <w:b/>
        </w:rPr>
        <w:t>E. 3.3.5</w:t>
      </w:r>
    </w:p>
    <w:p>
      <w:r>
        <w:t>Par ailleurs, en présence d'une faute grave, le travailleur n'a pas non plus droit à " l'indemnité compensatrice de préavis " (i. e. au salaire-préavis, cf. art. L 1234-1 C.trav.).</w:t>
      </w:r>
    </w:p>
    <w:p>
      <w:r>
        <w:rPr>
          <w:b/>
        </w:rPr>
        <w:t>E. 3.3.6</w:t>
      </w:r>
    </w:p>
    <w:p>
      <w:r>
        <w:t>Selon la Cour de cassation française, la "faute grave est celle qui rend impossible le maintien du salarié dans l'entreprise" (Cass. soc. 27. 9. 2007 D.2007 AJ 2538 ). Elle a précisé, dans un arrêt antérieur que "la faute grave résulte d'un fait ou d'un ensemble de faits imputables au salarié qui constitue une violation des obligations découlant du contrat de travail d'une importance telle qu'elle rend impossible le maintien du salarié dans l'entreprise durant le préavis " (Cass. soc. 26. 2. 1991 in: Bull.civ. V. N. 97; D. 1991 IR 82 ).</w:t>
      </w:r>
    </w:p>
    <w:p>
      <w:r>
        <w:rPr>
          <w:b/>
        </w:rPr>
        <w:t>E. 3.3.7</w:t>
      </w:r>
    </w:p>
    <w:p>
      <w:r>
        <w:t>Vu ce qui précède, la Cour est, au terme de son appréciation, convaincue que les deux parties contrat (respectivement: les deux personnes ayant négocié et signé le contrat) se sont référées – consciemment ou inconsciemment – à la notion de faute grave telle qu'elle est reçue et comprise en droit du travail français.</w:t>
      </w:r>
    </w:p>
    <w:p>
      <w:r>
        <w:rPr>
          <w:b/>
        </w:rPr>
        <w:t>E. 3.3.8</w:t>
      </w:r>
    </w:p>
    <w:p>
      <w:r>
        <w:t>Or, cette définition "française" de la notion de faute grave correspond largement à celle de justes motifs au sens de l'art. 337 CO.</w:t>
      </w:r>
    </w:p>
    <w:p>
      <w:r>
        <w:rPr>
          <w:b/>
        </w:rPr>
        <w:t>E. 3.3.9</w:t>
      </w:r>
    </w:p>
    <w:p>
      <w:r>
        <w:t>Dût-on faire abstraction du référentiel français utilisé par les parties, le résultat d'une analyse selon l'acception "suisse" de la notion faute grave serait guère différente. En effet, le sens communément attribué à cette notion est bel et bien identique à celle, utilisée par la jurisprudence suisse, de manquement grave qui justifie le licenciement immédiat du travailleur (cf. ATF 128 III 380 c. 2.2; TF 4A_32/2008 du 20. 5. 2008 c. 3.1).</w:t>
      </w:r>
    </w:p>
    <w:p>
      <w:r>
        <w:rPr>
          <w:b/>
        </w:rPr>
        <w:t>E. 3.3.10</w:t>
      </w:r>
    </w:p>
    <w:p>
      <w:r>
        <w:t>Par conséquent, la Cour retient, à l'instar du Tribunal, qu'ayant licencié l'intimé avec effet immédiat sans justes motifs, c'est-à-dire sans que ce dernier n'ait commis un manquement grave, l'appelante 1 lui doit l'indemnité de licenciement prévue à l'art. 6.2. du contrat.</w:t>
      </w:r>
    </w:p>
    <w:p>
      <w:r>
        <w:rPr>
          <w:b/>
        </w:rPr>
        <w:t>E. 3.4</w:t>
      </w:r>
    </w:p>
    <w:p>
      <w:r>
        <w:t>Motif justifié - L'appelante 1 fait valoir une prétention reconventionnelle de Fr. 64'615,40 (Fr. 140'000,-- moins Fr. 75'34,60 à titre de salaire du 1. 2. – 31.8.2010), fondée sur la peine conventionnelle stipulée, et, à son avis, devenue exigible par suite d'une violation, par l'intimé, de la clause de non-concurrence. Ce dernier, se référant à l'art. 340 c al. 2 CO, invoque la caducité de la clause, suite au licenciement immédiat sans justes motifs dont il a fait l'objet.</w:t>
      </w:r>
    </w:p>
    <w:p>
      <w:r>
        <w:rPr>
          <w:b/>
        </w:rPr>
        <w:t>E. 3.4.1</w:t>
      </w:r>
    </w:p>
    <w:p>
      <w:r>
        <w:t>A teneur de l'art. 340 c al. 2 CO, "la prohibition cesse également si l'employeur résilie le contrat sans que le travailleur lui ait donné un motif justifié (….)".</w:t>
      </w:r>
    </w:p>
    <w:p>
      <w:r>
        <w:rPr>
          <w:b/>
        </w:rPr>
        <w:t>E. 3.4.2</w:t>
      </w:r>
    </w:p>
    <w:p>
      <w:r>
        <w:t>L'appelante 1 se réfère à l'ATF 130 III 353 = JdT 2005 I 12 pour considérer que la clause subsistait en l'espèce nonobstant le renvoi immédiat sans justes motifs de l'intimé, car, il suffisait que l'employeur ait, à tout le moins eu, un motif justifié pour se séparer du travailleur. En effet, la notion de motif justifié au sens de l'art. 340 c al. 2 CO ne requiert pas l'intensité requise pour fonder une résiliation pour juste motif au sens de l'art. 337 CO.</w:t>
      </w:r>
    </w:p>
    <w:p>
      <w:r>
        <w:rPr>
          <w:b/>
        </w:rPr>
        <w:t>E. 3.4.3</w:t>
      </w:r>
    </w:p>
    <w:p>
      <w:r>
        <w:t>Cet argument n'est pas sans mérite. En effet, tant le Tribunal fédéral que la doctrine considèrent qu'il y a des cas où le travailleur – lié par une clause de non-concurrence – peut avoir fourni à l'employeur un motif justifié pour que celui-ci décide de le licencier; le fait que l'employeur ait "sur-réagi" en recourant à un licenciement immédiat n'entraînerait pas, dans ce cas-là, la caducité de la clause (cf. ATF 130 III 353 cons. 2.5.3; déjà: TF SJ 1989 p. 689; Streiff/Von Kaenel , Arbeitsvertrag, Zurich, 2006, N. 4 ad art. 340 c CO p. 873). Bref, il importe peu que la résiliation intervienne de manière ordinaire ou avec effet immédiat; il suffit, pour l'examen de la question de la caducité de la clause, qu'elle repose sur un motif justifié ( Wyler , Droit du travail, 2 e éd., Berne, 2008, p. 618).</w:t>
      </w:r>
    </w:p>
    <w:p>
      <w:r>
        <w:rPr>
          <w:b/>
        </w:rPr>
        <w:t>E. 3.4.3.1</w:t>
      </w:r>
    </w:p>
    <w:p>
      <w:r>
        <w:t>Par ailleurs, l'argument de l'intimé, formulé à titre éventuel , tiré de son obligation légale " d'accepter immédiatement tout travail en vue de diminuer le dommage" (art. 16 al. 1 LACI) ne saurait valoir permis de violer une clause de non-concurrence (cf. AppGer BS BJM 1996 p. 17; Streiff/Von Kaenel , op. cit. N. 8 ad art. 340 c CO p. 877). Une caisse de chômage aurait tort d'inciter un assuré de faire fi de ses engagements contractuels.</w:t>
      </w:r>
    </w:p>
    <w:p>
      <w:r>
        <w:rPr>
          <w:b/>
        </w:rPr>
        <w:t>E. 3.4.4</w:t>
      </w:r>
    </w:p>
    <w:p>
      <w:r>
        <w:t>En l'espèce cependant, la question de savoir si l'appelante était fondée ou non à se séparer de l'intimé, autrement dit, de savoir si celui-ci lui a fourni, par ses soupçons du 29 janvier 2010, un motif justifié au sens de l'art. 340 c al. 3 CO, peut rester indécise.</w:t>
      </w:r>
    </w:p>
    <w:p>
      <w:r>
        <w:rPr>
          <w:b/>
        </w:rPr>
        <w:t>E. 3.4.5</w:t>
      </w:r>
    </w:p>
    <w:p>
      <w:r>
        <w:t>En effet, encore faut-il, fût-ce pour déclencher l'exigibilité de la peine conventionnelle, que le travailleur lié par la clause l'ait effectivement violée (cf. art. 340b al. 1 CO; Wyler , op. cit., p. 611 – 612). La preuve en incombe à l'employeur (art. 8 CC; Dietschy , Les conflits de travail en procédure civile suisse, Bâle, 2011, p. 282; Streiff/Von Kaenel , op. cit., N. 8 ad art. 340 b CO p. 858).</w:t>
      </w:r>
    </w:p>
    <w:p>
      <w:r>
        <w:rPr>
          <w:b/>
        </w:rPr>
        <w:t>E. 3.4.6</w:t>
      </w:r>
    </w:p>
    <w:p>
      <w:r>
        <w:t>En l'espèce, l'appelante 1 n'a aucunement apporté la preuve d'une violation, par l'intimé, de la clause de prohibition de faire concurrence. A supposer, arguendo , que les pièces qu'elle a produites en procédure – la pièce/liasse 11 bis dem et pièce 7 dem/app – fussent recevables, elles ne suffiraient pas à emporter la conviction de la Cour. En effet, il s'agit-là de l'expression de projets et de velléités d'une activité potentiellement "concurrentielle", mais non pas d'une manifestation d'une activité concurrentielle in actu.</w:t>
      </w:r>
    </w:p>
    <w:p>
      <w:r>
        <w:rPr>
          <w:b/>
        </w:rPr>
        <w:t>E. 3.4.7</w:t>
      </w:r>
    </w:p>
    <w:p>
      <w:r>
        <w:t>Par conséquent, la Cour confirmera le rejet de la demande reconventionnelle.</w:t>
      </w:r>
    </w:p>
    <w:p>
      <w:r>
        <w:rPr>
          <w:b/>
        </w:rPr>
        <w:t>E. 4.1</w:t>
      </w:r>
    </w:p>
    <w:p>
      <w:r>
        <w:t>Les parties n'ont pas qualifié la nature de l'indemnité de licenciement prévue à l'art. 6.2 de leur contrat. S'agit-il d'un salaire ou d'un dommage-intérêts analogue à l'art. 337 c al. 1 CO ou d'un montant de pénalité analogue à l'art. 337 c al. 3 CO.</w:t>
      </w:r>
    </w:p>
    <w:p>
      <w:r>
        <w:rPr>
          <w:b/>
        </w:rPr>
        <w:t>E. 4.1.1</w:t>
      </w:r>
    </w:p>
    <w:p>
      <w:r>
        <w:t>En droit du travail français l'indemnité de licenciement ou son équivalent conventionnel n'est pas la contrepartie d'un travail fourni et ne constitue de ce fait pas un salaire (Cass.soc. 22. 5. 1986 in: Bull.civ , V. No. 245).</w:t>
      </w:r>
    </w:p>
    <w:p>
      <w:r>
        <w:rPr>
          <w:b/>
        </w:rPr>
        <w:t>E. 4.1.2</w:t>
      </w:r>
    </w:p>
    <w:p>
      <w:r>
        <w:t>En l'espèce toutefois, les parties ont caractérisé cette indemnité de " forfait incluant toutes les cotisations sociales ainsi que les droits sociaux relatifs aux vacances" .</w:t>
      </w:r>
    </w:p>
    <w:p>
      <w:r>
        <w:rPr>
          <w:b/>
        </w:rPr>
        <w:t>E. 4.2</w:t>
      </w:r>
    </w:p>
    <w:p>
      <w:r>
        <w:t>Le Tribunal a rangé cette prestation sous l'art. 337 c al. 1 CO – rappelant, au passage, que cette disposition n'était qu'une norme relativement impérative (art. 362 CO), n'interdisant pas aux parties de prévoir, en faveur du travailleur, des dommages-intérêts supérieurs au salaire-préavis. De ce fait, et pour simplifier, il a estimé que cette indemnité était assujettie aux cotisations sociales et qu'il convenait à l'employeur d'en retenir la part du salarié.</w:t>
      </w:r>
    </w:p>
    <w:p>
      <w:r>
        <w:rPr>
          <w:b/>
        </w:rPr>
        <w:t>E. 4.3</w:t>
      </w:r>
    </w:p>
    <w:p>
      <w:r>
        <w:t>Ce raisonnement se défend. En effet, si les parties avaient voulu stipuler une pénalité au sens de l'art. 337 c al. 3 CO, voire stipuler une pénalité supérieure aux six salaires mensuels y énoncés - ce qui eût été licite (cf. TF 4A_608/2010 du 10. 1. 2011 cons. 2.1; Wyler , op.cit. p. 520) – elles l'auraient précisé. Une telle pénalité serait, ex lege , exonérée de cotisations sociales (ATF 123 V 5 c. 5). Or, en parlant, dans leur clause relative à l'indemnité de licenciement, de cotisations sociales, elles se sont probablement placées dans le champ de l'art. 337 c al. 1 CO.</w:t>
      </w:r>
    </w:p>
    <w:p>
      <w:r>
        <w:rPr>
          <w:b/>
        </w:rPr>
        <w:t>E. 4.3.1</w:t>
      </w:r>
    </w:p>
    <w:p>
      <w:r>
        <w:t>A l'évidence, l'on ne saurait retenir une peine résolutoire ("Wandelpön") au sens de l'art. 160 al. 3 CO.</w:t>
      </w:r>
    </w:p>
    <w:p>
      <w:r>
        <w:rPr>
          <w:b/>
        </w:rPr>
        <w:t>E. 4.3.2</w:t>
      </w:r>
    </w:p>
    <w:p>
      <w:r>
        <w:t>Mais il est également possible qu'elles aient envisagé un severance paiement , non réglé dans la loi, mais fréquent dans le monde bancaire; cette indemnité contractuelle n'est ni liée à l'âge du travailleur, ni au mode ou aux raisons de rupture, mais elle a pour finalité d'amortir les conséquences de la perte de l'emploi pour un cadre.</w:t>
      </w:r>
    </w:p>
    <w:p>
      <w:r>
        <w:rPr>
          <w:b/>
        </w:rPr>
        <w:t>E. 4.4</w:t>
      </w:r>
    </w:p>
    <w:p>
      <w:r>
        <w:t>A teneur du texte de l'art. 6.2 du contrat, il incomberait à l'appelante 1 d'assumer, sur cette indemnité, la totalité des cotisations sociales (part employeur/ part salarié). Le demandeur n'ayant pas pris de conclusions à ce sujet, et ayant, d'une façon générale, conclu à la confirmation du jugement, il y a lieu d'entériner la solution du Tribunal.</w:t>
      </w:r>
    </w:p>
    <w:p>
      <w:r>
        <w:rPr>
          <w:b/>
        </w:rPr>
        <w:t>E. 4.5</w:t>
      </w:r>
    </w:p>
    <w:p>
      <w:r>
        <w:t>Dans l'esprit des parties, - et cela se reflète dans leurs écritures -, il était clair que le versement de cette indemnité n'était pas destiné à prolonger la durée du contrat au-delà du préavis contractuel de six mois. Cela ressort implicitement de la mention que "le montant de l'indemnité" et la "rémunération au titre du préavis" ne seraient pas "cumulables".</w:t>
      </w:r>
    </w:p>
    <w:p>
      <w:r>
        <w:rPr>
          <w:b/>
        </w:rPr>
        <w:t>E. 4.6</w:t>
      </w:r>
    </w:p>
    <w:p>
      <w:r>
        <w:t>Enfin, les parties n'ont pas remis en cause le calcul de l'indemnité fait par le Tribunal. Le montant de Fr. 213'769,20 brut alloué à ce titre couvre, en effet, la période du 4 février 2010 au 30 septembre 2011 selon la formule mathématique prévue à l'art. 6.2 du contrat. La Cour ne peut que le confirmer.</w:t>
      </w:r>
    </w:p>
    <w:p>
      <w:r>
        <w:rPr>
          <w:b/>
        </w:rPr>
        <w:t>E. 4.7</w:t>
      </w:r>
    </w:p>
    <w:p>
      <w:r>
        <w:t>La Cour confirme également que ce montant portera intérêt à 5% l'an dès le 5 février 2010, étant donné qu'à teneur de l'art. 339 al. 1 CO, à la fin du contrat, toutes les créances qui en découlent deviennent exigibles, et qu'il a été rappelé par le Tribunal fédéral, récemment encore, que cette règle s'applique aussi aux prétentions découlant d'un renvoi immédiat, qui, par définition, met une fin non seulement de facto , mais aussi de iure aux rapports de travail (TF 4A_474/2010 du 12. 1. 2011 c. 2.2.2. = ARV/DTA 2011 p. 112).</w:t>
      </w:r>
    </w:p>
    <w:p>
      <w:r>
        <w:rPr>
          <w:b/>
        </w:rPr>
        <w:t>E. 5</w:t>
      </w:r>
    </w:p>
    <w:p>
      <w:r>
        <w:t>5.1. L'intervenante demande dans son appel à ce que sa subrogation légale à due concurrence (art. 29 LACI) dans les droits de l'intimé vis-à-vis de l'appelante 1 soit étendue au-delà de la fin du préavis contractuel (31. 8. 2010), et ce jusqu'au 6 octobre 2010. 5.1.1. L'art. 29 al. 1 LACI dispose que " Si la caisse a de sérieux doutes que l'assuré ait droit, pour la durée de la perte de travail, au versement par son ancien employeur d'un salaire ou d'une indemnité au sens de l'art. 11 al. 3, ou que ces prétentions soient satisfaites, elle verse l'indemnité de chômage". L'art. 29 al. 2 première phrase LACI ajoute: " En opérant le versement, la caisse se subroge à l'assuré dans tous ses droits, y compris le privilège légal, jusqu'à concurrence de l'indemnité journalière versée par la caisse" (…). 5.1.2. A l'appui de sa thèse, l'intervenante se fonde sur l'art. 11 al. 3 LACI dont la teneur est la suivante: "N'est pas prise en considération la perte de travail pour laquelle le chômeur a droit au salaire ou à une indemnité pour cause de résiliation anticipée des rapports de travail". 5.1.3. Elle invoque, en sus, l'art. 11 a al. 1 et 2 LACI, qui, sous l'intitulé "Prestations volontaires de l'employeur en cas de résiliation des rapports de travail" disposent: "al. 1. La perte de travail n'est pas prise en considération tant que des prestations volontaires versées par l'employeur couvrent la perte de revenu résultant de la résiliation des rapports de travail". Al. 2 "Les prestations volontaires de l'employeur ne sont prises en compte que pour la part qui dépasse le montant maximum visé à l'art. 3 al. 2". 5.1.4. Il s'agit du montant maximal du gain annuel assuré dans l'assurance-accident (actuellement: Fr. 126'000,--). Le montant dépassant cette "déduction forfaitaire" est ensuite converti en période de chômage non à indemniser. 5.1.5. Enfin, elle se réfère à l'art. 10 e OACI où il est précisé que " le délai-cadre d'indemnisation de l'assuré qui a perçu des prestations volontaires de l'employeur commence à courir le premier jour où la perte de travail est prise en considération (…)"</w:t>
      </w:r>
    </w:p>
    <w:p>
      <w:r>
        <w:rPr>
          <w:b/>
        </w:rPr>
        <w:t>E. 5.2</w:t>
      </w:r>
    </w:p>
    <w:p>
      <w:r>
        <w:t>Or, l'intervenante semble confondre droit de subroger (art. 29 et 11 al. 3 LACI) et le retardement de l'indemnisation par suite de versement, par l'employeur, de "prestations volontaires" au sens de l'art. 11 a LACI.</w:t>
      </w:r>
    </w:p>
    <w:p>
      <w:r>
        <w:rPr>
          <w:b/>
        </w:rPr>
        <w:t>E. 5.2.1</w:t>
      </w:r>
    </w:p>
    <w:p>
      <w:r>
        <w:t>En effet, à teneur du texte clair de l'art 11 al. 3 LACI, sont considérées comme indemnités pour cause de résiliation anticipée des rapports de travail les prétentions fondées sur les art. 337 b et 337 c al. 1 CO, soit donc: le salaire afférent au préavis non respecté ( Rubin , Assurance-chômage, Zurich, 2 e éd., 2006, p. 159).</w:t>
      </w:r>
    </w:p>
    <w:p>
      <w:r>
        <w:rPr>
          <w:b/>
        </w:rPr>
        <w:t>E. 5.2.2</w:t>
      </w:r>
    </w:p>
    <w:p>
      <w:r>
        <w:t>L'intervenante n'aligne, dans son mémoire-appel, aucune jurisprudence et aucun avis doctrinal qui confirmerait que son droit de subrogation aux droits de l'assuré s'étend, à due concurrence, au salaire afférent au préavis non respecté, mais également, à due concurrence, à la période subséquente que l'employeur ou un tiers (la société-mère, fondation patronale) aurait indemnisée à un titre ou à un autre (plan social, severance payment, indemnité de départ au sens de l'art. 339 a – 339 d CO, prestations à but de prévoyance professionnelle).</w:t>
      </w:r>
    </w:p>
    <w:p>
      <w:r>
        <w:rPr>
          <w:b/>
        </w:rPr>
        <w:t>E. 5.2.3</w:t>
      </w:r>
    </w:p>
    <w:p>
      <w:r>
        <w:t>Il suffira de relever que l'art. 11 a LACI n'est assurément pas d'une rédaction des plus heureuses: qu'entend-on par "prestation volontaire" ? Les prestations visées par l'art. 11 al. 3 LACI sont dues ex lege ; il ne s'agit pas de prestations "volontaires" de l'employeur (cf. Blesi , "Abgangsentschädigungen des Arbeitgebers: Ungereimtheiten im Arbeitslosenversicherungsrecht" in: ARV/DTA , 2006 p. 85, spécialement p. 89). C'est ce que précise, du reste, également l'art. 10 a OACI – comme par hasard non mentionné par l'intervenante: "Sont réputées prestations volontaires de l'employeur les prestations allouées en cas de résiliation de rapports de travail régis par le droit privé ou par le droit public qui ne constituent pas des prestations de salaire ou d'indemnités selon l'art. 11 al. 3 LACI".</w:t>
      </w:r>
    </w:p>
    <w:p>
      <w:r>
        <w:rPr>
          <w:b/>
        </w:rPr>
        <w:t>E. 5.2.4</w:t>
      </w:r>
    </w:p>
    <w:p>
      <w:r>
        <w:t>Il n'appartient pas à la Chambre des Prud'hommes de la Cour de justice, non spécialisée en droit des assurances sociales, de créer, dans un domaine délicat et en marge du texte légal, une jurisprudence à la place de la Chambre des assurance sociales, respectivement de la Cour de droit social du Tribunal fédéral [à Lucerne].</w:t>
      </w:r>
    </w:p>
    <w:p>
      <w:r>
        <w:rPr>
          <w:b/>
        </w:rPr>
        <w:t>E. 5.2.5</w:t>
      </w:r>
    </w:p>
    <w:p>
      <w:r>
        <w:t>Enfin, l'intervenante dispose de ressources légales suffisantes pour réclamer à l'intimé assuré, par une décision et le moment venu, la restitution de la part des avances qu'elle lui a payées et pour laquelle son droit de subrogation n'a pas été admis (cf. art. 95 al. 2 LACI; art. 2 al. 1 LPGA, RS 830.11).</w:t>
      </w:r>
    </w:p>
    <w:p>
      <w:r>
        <w:rPr>
          <w:b/>
        </w:rPr>
        <w:t>E. 5.2.6</w:t>
      </w:r>
    </w:p>
    <w:p>
      <w:r>
        <w:t>En conséquence, l'appel de l'intervenante s'avère lui-aussi infondé et la partie du jugement qui la concerne sera confirmée.</w:t>
      </w:r>
    </w:p>
    <w:p>
      <w:r>
        <w:rPr>
          <w:b/>
        </w:rPr>
        <w:t>E. 6</w:t>
      </w:r>
    </w:p>
    <w:p>
      <w:r>
        <w:t>6.1. Lorsque, dans un litige portant sur un contrat de travail, la valeur litigieuse est, comme en l'espèce, supérieure à Fr. 30'000,--, des frais doivent, en principe, être perçus (cf. art. 114 let. c CPC = anciennement art. 343 al. 3 CO a contrario). Par frais le législateur entend a) les frais judiciaires et b) les dépens (cf. art. 98 al. 1 CPC).</w:t>
      </w:r>
    </w:p>
    <w:p>
      <w:r>
        <w:rPr>
          <w:b/>
        </w:rPr>
        <w:t>E. 6.2</w:t>
      </w:r>
    </w:p>
    <w:p>
      <w:r>
        <w:t>Toutefois, selon l'art. 116 al. 1 CPC, les cantons peuvent prévoir des dispenses de frais plus larges.</w:t>
      </w:r>
    </w:p>
    <w:p>
      <w:r>
        <w:rPr>
          <w:b/>
        </w:rPr>
        <w:t>E. 6.3</w:t>
      </w:r>
    </w:p>
    <w:p>
      <w:r>
        <w:t>Usant de ce droit, le canton de Genève ne perçoit pas d'émoluments, ni en première, ni en deuxième instance prud'homale, lorsque la valeur litigieuse ne dépasse pas Fr. 75'000,-- (cf. art. 69 Règlement fixant le tarif des frais en matière civile, RS/GE/E 1.05.10). Enfin, à teneur de l'art. 17 al. 2 de la loi d'application du code civil et autres lois fédérale (LaCC, RS/GE 1.05), il n'est pas alloué de dépens pour la représentation en justice dans les causes soumises à la juridiction des prud'hommes – quelle que soit la valeur litigieuse ou la partie qui l'emporte.</w:t>
      </w:r>
    </w:p>
    <w:p>
      <w:r>
        <w:rPr>
          <w:b/>
        </w:rPr>
        <w:t>E. 6.4</w:t>
      </w:r>
    </w:p>
    <w:p>
      <w:r>
        <w:t>Lorsque la demande principale et la demande reconventionnelle s'opposent, la valeur litigieuse se détermine d'après la valeur la plus élevée (art. 94 al. 1 CPC). Cette règle s'applique aussi en deuxième instance cantonale ( Tappy , in: B/H/J/S/T, op.cit. , N. 6 ad art. 94 CPC).</w:t>
      </w:r>
    </w:p>
    <w:p>
      <w:r>
        <w:rPr>
          <w:b/>
        </w:rPr>
        <w:t>E. 6.5</w:t>
      </w:r>
    </w:p>
    <w:p>
      <w:r>
        <w:t>En l'espèce, la valeur litigieuse la plus importante s'élève à Fr. 215'84,59. Ce montant dépasse, en appel, le seuil de Fr. 75'000,--.</w:t>
      </w:r>
    </w:p>
    <w:p>
      <w:r>
        <w:rPr>
          <w:b/>
        </w:rPr>
        <w:t>E. 6.6</w:t>
      </w:r>
    </w:p>
    <w:p>
      <w:r>
        <w:t>Vu l'art. 71 RTFMC, et compte tenu de la valeur litigieuse et de la complexité du dossier, la Cour arrêtera les frais judiciaires d'appel à Fr. 3'000,--. Ceux-ci ne comprennent pas les frais d'administration des preuves (dont notamment les frais de traducteur, interprètes, cf. art. 73 et 78 RFTMC).</w:t>
      </w:r>
    </w:p>
    <w:p>
      <w:r>
        <w:rPr>
          <w:b/>
        </w:rPr>
        <w:t>E. 6.7</w:t>
      </w:r>
    </w:p>
    <w:p>
      <w:r>
        <w:t>C'est la partie qui succombe qui assume les frais (art. 106 al. 1 CPC). En l'espèce, ceux-ci seront mis à la charge de l'appelante 1 qui succombe entièrement. La partie intervenante, bien que déboutée de son appel, vu l'équité et la pratique suivie vis-à-vis des Caisses de chômage lorsque leurs appels subrogatoires s'avèrent infructueux, ne sera pas tenue de participer aux frais (cf. art. 107 CPC).</w:t>
      </w:r>
    </w:p>
    <w:p>
      <w:r>
        <w:rPr>
          <w:b/>
        </w:rPr>
        <w:t>E. 6.8</w:t>
      </w:r>
    </w:p>
    <w:p>
      <w:r>
        <w:t>Le greffe a fait verser à l'appelante 1 une avance de frais de Fr. 2'000.--. Cette dernière doit donc encore à la Caisse de l'Etat un solde de Fr. 1'000.--. Par ailleurs, elle sera également condamnée aux frais d'interprète en appel, soit à Fr. 240.--. * * * * * PAR CES MOTIFS, La Chambre des prud'hommes, groupe 3 : A la forme : Reçoit l'appel interjeté par A______ SA contre le jugement TPRH/191/2011 rendu par le Tribunal des Prud'hommes, Groupe 3, en date du 22 mars 2011, dans la cause C/5231/2010-3; Reçoit l'appel interjeté par la CAISSE CANTONALE GENEVOISE DE CHOMAGE contre ce même jugement; Au fond : Confirme le jugement entrepris. Met les frais judiciaires d'appel de Fr. 3'240.-- à la charge de A______ SA; Dit que le montant de Fr. 2'000.-- versé par A______ SA à titre d'avance de frais pour la procédure d'appel reste acquis à l'Etat; Condamne A______ SA à verser à la Caisse de l'Etat le solde des frais judiciaires d'appel, soit Fr. 1'240.--; Dit qu'il n'est pas alloué de dépens; Déboute les parties de toutes autres conclusions. Siégeant : Monsieur Werner GLOOR, président; Monsieur Tito VILA, juge employeur, Madame Monique LENOIR, juge salariée; Madame Véronique BULUNDWE-LEVY, greffière. Indication des voies de recours et valeur litigieuse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