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C/5125/2021 vom 9. August 2021</w:t>
      </w:r>
    </w:p>
    <w:p>
      <w:r>
        <w:t>GE Cour de justice, 2021-08-09, FR</w:t>
      </w:r>
    </w:p>
    <w:p>
      <w:r>
        <w:rPr>
          <w:b/>
        </w:rPr>
        <w:t xml:space="preserve">Quelle: </w:t>
      </w:r>
      <w:r>
        <w:t>https://mcp.opencaselaw.ch/entscheid/ge_gerichte_C_5125_2021</w:t>
      </w:r>
    </w:p>
    <w:p>
      <w:r>
        <w:t>FR: GE_GERICHTE C/5125/2021 du 9 août 2021</w:t>
      </w:r>
    </w:p>
    <w:p>
      <w:r>
        <w:t>IT: GE_GERICHTE C/5125/2021 del 9 agosto 2021</w:t>
      </w:r>
    </w:p>
    <w:p>
      <w:pPr>
        <w:pStyle w:val="Heading2"/>
      </w:pPr>
      <w:r>
        <w:t>Regeste</w:t>
      </w:r>
    </w:p>
    <w:p>
      <w:r>
        <w:t>CPC.315</w:t>
      </w:r>
    </w:p>
    <w:p>
      <w:pPr>
        <w:pStyle w:val="Heading2"/>
      </w:pPr>
      <w:r>
        <w:t>Volltext</w:t>
      </w:r>
    </w:p>
    <w:p>
      <w:r>
        <w:t>Genf Cour de Justice (Cour civile) Chambre civile 03.09.2021 C/5125/2021 Genève Cour de Justice (Cour civile) Chambre civile 03.09.2021 C/5125/2021 Ginevra Cour de Justice (Cour civile) Chambre civile 03.09.2021 C/5125/2021</w:t>
      </w:r>
    </w:p>
    <w:p>
      <w:r>
        <w:t>C/5125/2021 ACJC/1098/2021 du 03.09.2021 sur JTPI/10109/2021 ( SDF ) Normes : CPC.315 Par ces motifs republique et canton de geneve POUVOIR JUDICIAIRE C/5125/2021 ACJC/1098/2021 ARRÊT DE LA COUR DE JUSTICE Chambre civile DU VENDREDI 3 SEPTEMBRE 2021 Entre Monsieur A______ , domicilié chemin ______, ______ (GE), appelant d'un jugement rendu par la 19 ème Chambre du Tribunal de première instance de ce canton le 9 août 2021, comparant en personne, et Madame B______ , domiciliée ______ (VD), intimée, comparant par Me Daniel MEYER, avocat, rue Ferdinand-Hodler 7, 1207 Genève, en l'Étude duquel elle fait élection de domicile. Attendu, EN FAIT , que par jugement du 9 août 2021, le Tribunal de première instance, statuant sur mesures protectrices de l'union conjugale, a notamment condamné A______ à verser en mains de B______, par mois et d'avance, 480 fr. à compter du mois de mars 2021 au titre de la contribution à son entretien (ch. 2 du dispositif); Que par acte expédié à la Cour de justice le 23 août 2021, A______ a formé appel contre ce jugement, concluant, avec suite de frais, à l'annulation du ch. 2 précité et, cela fait, à ce qu'il soit dit qu'il ne devait verser aucune contribution à l'entretien de B______; Qu'il a préalablement conclu à l'octroi de l'effet suspensif à son appel; qu'il a expliqué à cet égard que s'il versait le montant de 480 fr. à titre de contribution d'entretien, il risquait de subir un dommage difficilement réparable en cas d'annulation du jugement attaqué; Qu'invitée à se déterminer, B______ a conclu au rejet de cette requête;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l'appelant soutient que l'exécution du ch. 2 du dispositif du jugement attaqué risque de lui causer un préjudice difficilement réparable; qu'il n'explique toutefois pas de quelle nature serait ce préjudice, ni pourquoi il risquerait de le subir; Que les explications fournies ne permettent ainsi pas de considérer que les conditions pour suspendre le caractère exécutoire du chiffre précité sont remplies; Qu'au vu de ce qui précède, la requête tendant à suspendre le caractère exécutoire du ch. 2 du dispositif du jugement attaqué sera rejetée; Qu'il sera statué sur les frais et dépens liés à la présente décision avec l'arrêt au fond (art. 104 al. 3 CPC). * * * * * PAR CES MOTIFS, La Chambre civile : Statuant sur requête de suspension du caractère exécutoire du jugement entrepris : Rejette la requête formée par A______ tendant à suspendre le caractère exécutoire du ch. 2 du dispositif du jugement JTPI/10109/2021 rendu le 9 août 2021 par le Tribunal de première instance dans la cause C/5125/2021-19. Dit qu'il sera statué sur les frais liés à la présente décision dans l'arrêt rendu sur le fond. Siégeant : Monsieur Laurent RIEBEN, président; Madame Sandra CARRIER, greffière. Le président : Laurent RIEBEN La greffière : Sandra CARRIER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