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C/5040/2009 vom 7. Dezember 2009</w:t>
      </w:r>
    </w:p>
    <w:p>
      <w:r>
        <w:t>GE Cour de justice, 2009-12-07, FR</w:t>
      </w:r>
    </w:p>
    <w:p>
      <w:r>
        <w:rPr>
          <w:b/>
        </w:rPr>
        <w:t xml:space="preserve">Quelle: </w:t>
      </w:r>
      <w:r>
        <w:t>https://mcp.opencaselaw.ch/entscheid/ge_gerichte_C_5040_2009</w:t>
      </w:r>
    </w:p>
    <w:p>
      <w:r>
        <w:t>FR: GE_GERICHTE C/5040/2009 du 7 décembre 2009</w:t>
      </w:r>
    </w:p>
    <w:p>
      <w:r>
        <w:t>IT: GE_GERICHTE C/5040/2009 del 7 dicembre 2009</w:t>
      </w:r>
    </w:p>
    <w:p>
      <w:pPr>
        <w:pStyle w:val="Heading2"/>
      </w:pPr>
      <w:r>
        <w:t>Regeste</w:t>
      </w:r>
    </w:p>
    <w:p>
      <w:r>
        <w:t>; ÉVACUATION(EN GÉNÉRAL) ; DÉFAUT DE PAIEMENT ; DROIT AU LOGEMENT | CO.257d</w:t>
      </w:r>
    </w:p>
    <w:p>
      <w:pPr>
        <w:pStyle w:val="Heading2"/>
      </w:pPr>
      <w:r>
        <w:t>Erwägungen</w:t>
      </w:r>
    </w:p>
    <w:p>
      <w:r>
        <w:rPr>
          <w:b/>
        </w:rPr>
        <w:t>E. 1</w:t>
      </w:r>
    </w:p>
    <w:p>
      <w:r>
        <w:t>L’appel est recevable pour avoir été déposé selon la forme et dans le délai prescrits (art. 443 et 444 LPC). S’agissant d’une procédure en évacuation pour défaut de paiement, le Tribunal a statué en premier ressort (art. 56P al. 2 LOJ ; TF, SJ 1997 p. 538 consid. 1b). La cour revoit donc la cause librement ; sous réserve de l’immutabilité du litige, elle peut connaître de nouvelles conclusions, de nouveaux allégués et de nouvelles preuves (Bertossa/Gaillard/Guyet/Schmidt, Commentaire de la loi de procédure civile genevoise, n. 2 ad art. 445 LPC).</w:t>
      </w:r>
    </w:p>
    <w:p>
      <w:r>
        <w:rPr>
          <w:b/>
        </w:rPr>
        <w:t>E. 2</w:t>
      </w:r>
    </w:p>
    <w:p>
      <w:r>
        <w:t>L'appelant reproche à la juridiction d'avoir ordonné son évacuation alors qu'il se trouve en phase de recherche active de relogement et qu'une pénurie dans ce domaine sévit à Genève. Il invoque également le droit au logement inscrit à l'art. 10A de la Constitution genevoise. Ce faisant, l'appelant ne critique pas l'application qu'a faite le Tribunal de l'art. 257d CO et n'émet aucun grief précis contre le jugement entrepris.</w:t>
      </w:r>
    </w:p>
    <w:p>
      <w:r>
        <w:rPr>
          <w:b/>
        </w:rPr>
        <w:t>E. 2.1</w:t>
      </w:r>
    </w:p>
    <w:p>
      <w:r>
        <w:t>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 paiement du loyer soit acquise. Le juge doit alors prononcer l’évacuation.</w:t>
      </w:r>
    </w:p>
    <w:p>
      <w:r>
        <w:rPr>
          <w:b/>
        </w:rPr>
        <w:t>E. 2.2</w:t>
      </w:r>
    </w:p>
    <w:p>
      <w:r>
        <w:t>Le cas d'espèce illustre parfaitement la situation où tant les conditions formelles que matérielles à l'évacuation sont réalisées. Le locataire ne conteste pas plus la réalisation de celles-ci en appel qu'il ne la contestait en première instance. Dès lors, la Cour n'a pas d'autre issue que de confirmer l'évacuation prononcée par le premier juge. Quant au droit cantonal - même de rang constitutionnel - il ne peut faire obstacle à l'application de l'art. 257d CO, ce que précise d'ailleurs l'art. 10A al. 3 in initio Cst genevoise. S'agissant de la requête visant à obtenir un temps supplémentaire pour trouver une solution de relogement, il appartiendra aux autorités d'exécution du présent jugement d'apprécier la situation personnelle du locataire lorsque la bailleresse sollicitera son évacuation devant le Procureur général.</w:t>
      </w:r>
    </w:p>
    <w:p>
      <w:r>
        <w:rPr>
          <w:b/>
        </w:rPr>
        <w:t>E. 3</w:t>
      </w:r>
    </w:p>
    <w:p>
      <w:r>
        <w:t>Au vu de la situation, l'appelant supportera un émolument d'appel (art. 447 al. 2 LPC).</w:t>
      </w:r>
    </w:p>
    <w:p>
      <w:r>
        <w:rPr>
          <w:b/>
        </w:rPr>
        <w:t>E. 4</w:t>
      </w:r>
    </w:p>
    <w:p>
      <w:r>
        <w:t>En raison des conclusions prises devant la Cour, la valeur litigieuse s'élève au montant des loyers dus du moment de la résiliation jusqu'à la prochaine échéance contractuelle, à savoir en l'espèce du 1 er décembre 2008 jusqu'au 31 décembre 2009 (ATF 88 II 57 consid. 1). Compte tenu d'un loyer mensuel de 1'214 fr., la valeur litigieuse au sens de l'art. 51 LTF est donc supérieure à 15'000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