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C/4957/2010 vom 25. November 2011</w:t>
      </w:r>
    </w:p>
    <w:p>
      <w:r>
        <w:t>GE Cour de justice, 2011-11-25, FR</w:t>
      </w:r>
    </w:p>
    <w:p>
      <w:r>
        <w:rPr>
          <w:b/>
        </w:rPr>
        <w:t xml:space="preserve">Quelle: </w:t>
      </w:r>
      <w:r>
        <w:t>https://mcp.opencaselaw.ch/entscheid/ge_gerichte_C_4957_2010</w:t>
      </w:r>
    </w:p>
    <w:p>
      <w:r>
        <w:t>FR: GE_GERICHTE C/4957/2010 du 25 novembre 2011</w:t>
      </w:r>
    </w:p>
    <w:p>
      <w:r>
        <w:t>IT: GE_GERICHTE C/4957/2010 del 25 novembre 2011</w:t>
      </w:r>
    </w:p>
    <w:p>
      <w:pPr>
        <w:pStyle w:val="Heading2"/>
      </w:pPr>
      <w:r>
        <w:t>Regeste</w:t>
      </w:r>
    </w:p>
    <w:p>
      <w:r>
        <w:t>INTERPRÉTATION(PROCÉDURE); RECTIFICATION DE LA DÉCISION; MOYEN DE DROIT CANTONAL; TYPE DE RECOURS | CPC.334; CPC.327; CPC.57</w:t>
      </w:r>
    </w:p>
    <w:p>
      <w:pPr>
        <w:pStyle w:val="Heading2"/>
      </w:pPr>
      <w:r>
        <w:t>Erwägungen</w:t>
      </w:r>
    </w:p>
    <w:p>
      <w:r>
        <w:rPr>
          <w:b/>
        </w:rPr>
        <w:t>E. 1</w:t>
      </w:r>
    </w:p>
    <w:p>
      <w:r>
        <w:t>X______ SA , sise à Genève,</w:t>
      </w:r>
    </w:p>
    <w:p>
      <w:r>
        <w:rPr>
          <w:b/>
        </w:rPr>
        <w:t>E. 2</w:t>
      </w:r>
    </w:p>
    <w:p>
      <w:r>
        <w:t>(…) force est de constater que le contrat de travail du 9 avril 2009 ne liait pas le demandeur à X______ HOLDING SA, mais exclusivement à X______ SA.</w:t>
      </w:r>
    </w:p>
    <w:p>
      <w:r>
        <w:rPr>
          <w:b/>
        </w:rPr>
        <w:t>E. 2.1</w:t>
      </w:r>
    </w:p>
    <w:p>
      <w:r>
        <w:t>A teneur de l'art. 334 al. 3 CPC, la décision sur interprétation ou de rectification peut faire l'objet d'un recours. Le texte français de cette disposition est trompeur, puisqu'il suggère que seuls les jugements interprétatifs ou rectificatifs peuvent faire l'objet d'un recours alors que, selon les versions allemande et italienne, le recours peut être formé contre les décisions qui statuent sur la requête d'interprétation ou de rectification (SCHWEIZER, op. cit., n. 18 ad art. 334), plus exactement celles qui la rejettent. En revanche, lorsque le juge admet que les conditions de l'interprétation ou de la rectification sont réalisées, il ne prononce pas de jugement incident admettant la requête, mais rend immédiatement un jugement interprétatif ou rectificatif, qui sera attaquable selon la voie de droit ouverte contre la décision d'origine (FREIBURGHAUS/AFHELDT, op. cit., n. 11 et 14 zu art. 334).</w:t>
      </w:r>
    </w:p>
    <w:p>
      <w:r>
        <w:rPr>
          <w:b/>
        </w:rPr>
        <w:t>E. 2.2</w:t>
      </w:r>
    </w:p>
    <w:p>
      <w:r>
        <w:t>En l'espèce, le Tribunal a rendu dans un premier temps un jugement rectifié, puis un jugement admettant la rectification de l'erreur de plume et rejetant la requête du recourant sur le point litigieux. Comme le relève à juste titre le recourant, les premiers juges ont procédé dans l'ordre inverse du système institué par le législateur en la matière. Par conséquent, le jugement rectifié, quand bien même il ne statue pas expressément sur ce point, contient implicitement le rejet de la requête du recourant tendant à la modification du dispositif. Dans cette mesure, la voie du recours est ouverte. Il en va de même du jugement du 18 juillet 2011 qui rejette expressément la requête du recourant en tant qu'elle visait la modification du dispositif. Formés, par écrit et motivés, dans un délai de trente jours à compter de la notification des décisions querellées (art. 321 al. 1 CPC), les deux recours sont recevables. Ils seront joints (art. 125 let. c CPC par analogie). Dans un recours, seuls sont recevables les griefs de violation du droit et de constatation manifestement inexacte des faits (art. 320 CPC).</w:t>
      </w:r>
    </w:p>
    <w:p>
      <w:r>
        <w:rPr>
          <w:b/>
        </w:rPr>
        <w:t>E. 3</w:t>
      </w:r>
    </w:p>
    <w:p>
      <w:r>
        <w:t>3.1 Selon l'art. 334 al. 1 CPC, si le dispositif de la décision est peu clair, contradictoire ou incomplet ou qu'il ne correspond pas à la motivation, le tribunal procède, sur requête ou d'office, à l'interprétation ou à la rectification de la décision. Une décision peut être attaquée au moyen de la rectification et de l'interprétation lorsque la volonté du tribunal est exprimée incorrectement; en revanche, lorsque cette volonté s'est formée de manière erronée, cette voie de droit n'est pas ouverte (FREIBURGHAUS/AFHELDT, op. cit., n. 3 zu art. 334). La contradiction ou l'ambiguïté ne doivent être attribués qu'au texte de la décision (BRUNNER, KuKo-ZPO, 2010, n. 4 zu art. 334). Il y a notamment matière à interprétation lorsque le dispositif, apparemment univoque, entre en contradiction avec les motifs qui le sous tendent, par exemple lorsque le tribunal condamne au paiement d'une somme d'argent pour violation du contrat après avoir constaté dans ces motifs qu'aucune violation n'était intervenue ou si les motifs indiquent une indemnité d'un tel montant et que le dispositif n'en alloue que la moitié (SCHWEIZER, op. cit. n. 7 et 14 ad art. 334), ou encore si les considérants indiquent qu'un intérêt de 8% est dû alors que le défendeur est condamné à payer des intérêts de 5% (MEIER, Schweizerisches Zivilprozessrecht, 2010, p. 463). 4.2 En l'espèce, il résulte des considérants 2 et 3 du jugement du 25 mai 2011 que le Tribunal a retenu qu'en dépit de l'absence de contrat de travail entre le recourant et X______ HOLDING SA, cette dernière répondait des engagements de X______ SA envers le recourant. Les premiers juges ont également tenu pour établi que les intimées répondaient chacune des actions et/ou omissions de l'autre. En outre, le Tribunal a considéré que X______ HOLDING SA devait assumer les obligations contractuelles de X______ SA. Enfin, X______ HOLDING SA disposait de la légitimation passive, si bien que le recourant l'avait valablement assignée en justice. Par conséquent, il ressort sans aucun doute de la motivation du Tribunal que les intimées étaient toutes deux tenues envers le recourant des mêmes obligations, si bien qu'elles sont débitrices solidaires (ATF 129 II 702 consid. 2.1). Dans les considérants suivants, le Tribunal a arrêté les créances. Il n'a toutefois jamais indiqué que ces créances ne concernaient que X______ SA. Par conséquent, la seule condamnation de X______ SA, figurant au dispositif, à payer au recourant des sommes d'argent est en contradiction avec les motifs du jugement et n'exprime pas correctement la volonté du Tribunal. L'application correcte de l'art. 334 al. 1 CPC aurait dû conduire les premiers juges à prononcer une condamnation des deux sociétés au paiement solidaire de sommes d'argent au recourant. Cela n'aurait pas constitué une modification du jugement, mais uniquement l'expression correcte de la volonté du Tribunal Saisis notamment d'une requête du recourant tendant à la modification du dispositif, les premiers juges ne pouvaient restreindre leur cognition au seul examen des conditions pour la rectification d'une erreur matérielle: ils devaient, en effet, appliquer d'office le droit dans les limites des conclusions sans être liés par les motifs juridiques invoqués par les parties (art. 57 CPC; HALDY, Code de procédure civile commenté, 2011, n. 3 ad art. 57; OBERHAMMER, Kuko-ZPO, 2010, n. 3 zu art. 57). Au vu de ce qui précède, le Tribunal a violé l'art. 334 al. 1 CPC et le recours doit être admis.</w:t>
      </w:r>
    </w:p>
    <w:p>
      <w:r>
        <w:rPr>
          <w:b/>
        </w:rPr>
        <w:t>E. 5</w:t>
      </w:r>
    </w:p>
    <w:p>
      <w:r>
        <w:t>Si elle admet le recours, l'instance de recours annule la décision et renvoie la cause à l'instance précédente (art. 327 al. 3 let. a CPC). Lorsque la deuxième instance admet le recours contre la décision sur la requête en rectification ou en interprétation, elle adresse la décision sur recours à la première instance laquelle, sur cette base, prononce et communique la décision rectifiée ou interprétative conformément à l'art. 334 al. 4 CPC (BRUNNER, op. cit., n. 7 zu art. 334). Au vu de ce qui précède, il y a lieu de renvoyer la cause au Tribunal afin qu'il prononce le jugement interprétatif dans le sens d'une condamnation solidaire des intimées, ce qui permettra, cas échéant, à ces dernières d'attaquer ce prononcé.</w:t>
      </w:r>
    </w:p>
    <w:p>
      <w:r>
        <w:rPr>
          <w:b/>
        </w:rPr>
        <w:t>E. 6</w:t>
      </w:r>
    </w:p>
    <w:p>
      <w:r>
        <w:t>En matière prud'homale, il n'est pas perçu d'émoluments forfaitaires de décision pour les recours et les décisions sur requête en interprétation, ni alloué de dépens (art. 116 al. 1 CPC, 68 RTFMC et 17 al. 2 LaCC). * * * * * PAR CES MOTIFS, La Chambre des prud'hommes, groupe 4 : À la forme : Reçoit les recours formés par C______ contre le jugement du Tribunal des prud'hommes du 25 mai 2011, rectifié le 22 juin 2011 et le jugement du Tribunal des prud'hommes du 18 juillet 2011, rendus dans la cause C/4957/2010. Ordonne leur jonction. Au fond : Annule les chiffres 4 à 6 du dispositif du jugement du 25 mai 2011, rectifié le 22 juin 2011. Annule le chiffre 3 du dispositif du jugement du 18 juillet 2011. Renvoie la cause au Tribunal pour nouvelles décisions dans le sens des considérants. Déboute les parties de toutes autres conclusions. Siégeant : Monsieur François CHAIX, président, Monsieur Robert NIESTLÉ, juge employeur, Madame Christine PFUND, juge salariée,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