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C/4941/2013 vom 20. November 2014</w:t>
      </w:r>
    </w:p>
    <w:p>
      <w:r>
        <w:t>GE Cour de justice, 2014-11-20, FR</w:t>
      </w:r>
    </w:p>
    <w:p>
      <w:r>
        <w:rPr>
          <w:b/>
        </w:rPr>
        <w:t xml:space="preserve">Quelle: </w:t>
      </w:r>
      <w:r>
        <w:t>https://mcp.opencaselaw.ch/entscheid/ge_gerichte_C_4941_2013</w:t>
      </w:r>
    </w:p>
    <w:p>
      <w:r>
        <w:t>FR: GE_GERICHTE C/4941/2013 du 20 novembre 2014</w:t>
      </w:r>
    </w:p>
    <w:p>
      <w:r>
        <w:t>IT: GE_GERICHTE C/4941/2013 del 20 novembre 2014</w:t>
      </w:r>
    </w:p>
    <w:p>
      <w:pPr>
        <w:pStyle w:val="Heading2"/>
      </w:pPr>
      <w:r>
        <w:t>Regeste</w:t>
      </w:r>
    </w:p>
    <w:p>
      <w:r>
        <w:t>RENONCIATION À DES PRÉTENTIONS DE SALAIRE; À TITRE VOLONTAIRE; CONTRAT DE TRAVAIL | CO.319.1; CO.18; CO.329d</w:t>
      </w:r>
    </w:p>
    <w:p>
      <w:pPr>
        <w:pStyle w:val="Heading2"/>
      </w:pPr>
      <w:r>
        <w:t>Erwägungen</w:t>
      </w:r>
    </w:p>
    <w:p>
      <w:r>
        <w:rPr>
          <w:b/>
        </w:rPr>
        <w:t>E. 2</w:t>
      </w:r>
    </w:p>
    <w:p>
      <w:r>
        <w:t>La recourante fait grief au Tribunal d'avoir constaté les faits de manière manifestement inexacte et violé l'art. 8 CC en retenant qu'une rémunération de 170 fr. par jour avait été convenue entre les parties. Elle ajoute que ni l'existence d'un rapport de subordination, ni celle d'horaire de travail régulier ne sont établies.</w:t>
      </w:r>
    </w:p>
    <w:p>
      <w:r>
        <w:rPr>
          <w:b/>
        </w:rPr>
        <w:t>E. 2.1</w:t>
      </w:r>
    </w:p>
    <w:p>
      <w:r>
        <w:t>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(arrêt 4A_602/2013 du 27 mars 2014, consid. 3.2). Les quatre éléments caractéristiques du contrat individuel de travail sont la prestation de travail ou de services, le rapport de subordination juridique, la rémunération et l'élément de durée (Wyler/ Heinzer, Droit du travail, 2014, p. 21 et 22; Aubert, Commentaire romand, 2012, n. 1 ad art. 319 CO). 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Dans le doute l'existence d'une rémunération fixe, la mise à disposition de l'infrastructure de travail et la prise en charge du risque économique et d'exploitation par l'employeur sont autant d'éléments en faveur de l'existence d'un contrat de travail (arrêt du Tribunal fédéral 4A_194/2011 du 5 juillet 2011, consid. 5.6.5., JT 2012 II 198 ).</w:t>
      </w:r>
    </w:p>
    <w:p>
      <w:r>
        <w:rPr>
          <w:b/>
        </w:rPr>
        <w:t>E. 2.2</w:t>
      </w:r>
    </w:p>
    <w:p>
      <w:r>
        <w:t>Pour déterminer l'existence d'un contrat de travail, le juge doit rechercher la réelle et commune intention des parties (art. 18 al. 1 CO). Chaque partie doit, si la loi ne prescrit le contraire, prouver les faits qu'elle allègue pour en déduire son droit (art. 8 CC). Selon la doctrine et la jurisprudence, le droit privé fédéral prescrit, dans son champ d’application, une certaine règle quant au degré de la preuve .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(ATF 128 III 271 c. 2b/aa, JdT 2003 I 606; ATF 118 II 235 c. 3c, JdT 1994 I 331, SJ 1992, 590; ATF 98 II 231 c. 5, JdT 1974 I 80).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w:t>
      </w:r>
    </w:p>
    <w:p>
      <w:r>
        <w:rPr>
          <w:b/>
        </w:rPr>
        <w:t>E. 2.3</w:t>
      </w:r>
    </w:p>
    <w:p>
      <w:r>
        <w:t>En l'espèce, les témoignages recueillis lors des enquêtes établissent que l'intimé, mécanicien de profession, était effectivement présent entre novembre 2011 et août 2012 dans les locaux du magasin de scooters exploité par la recourante et qu'il y effectuait une prestation de travail, à savoir réparer des scooters et ranger les véhicules à l'intérieur du magasin à la fin de la journée. Contrairement à ce qu'allègue la recourante, la régularité de la présence de l'intimé ne résulte pas seulement des déclarations de la compagne de celui-ci, mais également de celles de son propre gérant, C.______, qui a indiqué que l'intimé venait quasiment tous les jours au magasin, le matin et l'après-midi, et qu'il rentrait les scooters le soir. Les témoins G.______, L.______ et Q.______ ont également confirmé cet élément. Par ailleurs, il résulte des témoignages recueillis que l'intimé n'a pas seulement réparé les scooters de "ses copains", selon l'expression de la recourante, mais également ceux des clients de B.______ Sàrl. Ce faisant, la recourante a accepté pour une période de plusieurs mois que l'intimé exécute pour elle un travail qui, d'après les circonstances, ne devait être fourni que contre un salaire au sens de l'art. 320 al. 2 CO. Il n'y a ainsi aucune raison de mettre en doute le témoignage de la compagne de l'intimé qui a déclaré sous serment que celui-ci percevait de la part de la recourante le montant de 170 fr. en espèce par jour travaillé. L'existence d'un lien de subordination de l'intimé envers la recourante est attestée d'une part par la nature de l'activité exercée par l'intimé, à savoir réparer les véhicules des clients de la recourante, et d'autre part par les déclarations des témoins, qui ont indiqué que l'intimé travaillait comme mécanicien au service de C.______, qualifié de "patron" (témoin D.______, E.______, F.______, H.______ et I.______, J.______). Ces témoignages sont qui plus est corroborés par celui de G.______ à qui C.______ a expressément dit qu'il avait embauché un employé en la personne d'A.______. Enfin, contrairement à ce que soutient la recourante, le Tribunal ne s'est pas limité à apprécier les preuves au stade de la vraisemblance puisqu'il a indiqué avoir acquis la certitude qu'un contrat de travail avait bien été conclu entre les parties Compte tenu des témoignages figurant à la procédure, cette appréciation n'est pas critiquable. Au vu de tous les éléments du dossier, le Tribunal était en outre fondé à retenir que la rémunération convenue était de 170 fr. par jour, correspondant à 3'570 fr. bruts par mois.</w:t>
      </w:r>
    </w:p>
    <w:p>
      <w:r>
        <w:rPr>
          <w:b/>
        </w:rPr>
        <w:t>E. 3</w:t>
      </w:r>
    </w:p>
    <w:p>
      <w:r>
        <w:t>La recourante fait encore valoir que, en tout état de cause, le contrat, vu sa nature irrégulière et son caractère tacite, n'incluait pas le paiement des vacances, ce qui était attesté par le fait que l'intimé n'avait jamais sollicité de rémunération pour ses vacances avant de déposer sa demande en paiement.</w:t>
      </w:r>
    </w:p>
    <w:p>
      <w:r>
        <w:rPr>
          <w:b/>
        </w:rPr>
        <w:t>E. 3.1</w:t>
      </w:r>
    </w:p>
    <w:p>
      <w:r>
        <w:t>L'art. 329a al. 1 CO fixe la durée minimale des vacances à quatre semaines par année de service. Selon l'art. 329d CO L'employeur verse au travailleur le salaire total afférent aux vacances (al. 1), étant précisé que tant que durent les rapports de travail, les vacances ne peuvent pas être remplacées par des prestations en argent ou d'autres avantages (al. 2). Les arts. 329a al. 1 et 329d al. 1 CO sont de nature relativement impérative, en ce sens qu'il ne peut y être dérogé conventionnellement au détriment du travailleur (art. 362 al. 1 CO). Le droit à du temps de vacances est le même, quelle que soit la formule envisagée du contrat de travail (travail à temps partiel, travail sur appel, travail horaire, etc.) (Wyler/ Heinzer, op. cit., p. 385).</w:t>
      </w:r>
    </w:p>
    <w:p>
      <w:r>
        <w:rPr>
          <w:b/>
        </w:rPr>
        <w:t>E. 3.2</w:t>
      </w:r>
    </w:p>
    <w:p>
      <w:r>
        <w:t>En l'espèce, au vu des principes juridiques précités, c'est à juste titre que le Tribunal a considéré qu'il n'y avait pas de motif de retenir que l'intimé n'avait pas droit au paiement de ses vacances. Ni le caractère "tacite" du contrat, ni le fait que l'intimé n'ait pas réclamé le paiement du salaire afférent à ses vacances avant la fin des rapports de travail ne sont des éléments pertinents à cet égard. Au demeurant, l'intimé a bien été partiellement rémunéré pour ses vacances avant la fin du contrat puisqu'il a reçu 200 fr. à ce titre. Le second grief de la recourante est ainsi également infondé, de sorte que le recours doit être rejeté.</w:t>
      </w:r>
    </w:p>
    <w:p>
      <w:r>
        <w:rPr>
          <w:b/>
        </w:rPr>
        <w:t>E. 4</w:t>
      </w:r>
    </w:p>
    <w:p>
      <w:r>
        <w:t>La procédure est gratuite (art. 114 let. c CPC). Il n'est pas alloué de dépens (art. 22 al. 2 LaCC). * * * * * PAR CES MOTIFS, La Chambre des prud'hommes, groupe 1 : A la forme : Déclare recevable le recours formé par B.______ Sàrl le 11 août 2014 contre le jugement du Tribunal des prud'hommes JTPH/273/2014 du 9 juillet 2014 dans la cause C/4941/2013-1. Au fond : Rejette le recours. Déboute les parties de toutes autres conclusions. Siégeant : Madame Fabienne GEISINGER-MARIÉTHOZ, présidente; Monsieur Roberto SPINELLI, juge employeur, Monsieur Roger EMMENEGGER,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