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C/4763/2014 vom 13. Januar 2015</w:t>
      </w:r>
    </w:p>
    <w:p>
      <w:r>
        <w:t>GE Cour de justice, 2015-01-13, FR</w:t>
      </w:r>
    </w:p>
    <w:p>
      <w:r>
        <w:rPr>
          <w:b/>
        </w:rPr>
        <w:t xml:space="preserve">Quelle: </w:t>
      </w:r>
      <w:r>
        <w:t>https://mcp.opencaselaw.ch/entscheid/ge_gerichte_C_4763_2014</w:t>
      </w:r>
    </w:p>
    <w:p>
      <w:r>
        <w:t>FR: GE_GERICHTE C/4763/2014 du 13 janvier 2015</w:t>
      </w:r>
    </w:p>
    <w:p>
      <w:r>
        <w:t>IT: GE_GERICHTE C/4763/2014 del 13 gennaio 2015</w:t>
      </w:r>
    </w:p>
    <w:p>
      <w:pPr>
        <w:pStyle w:val="Heading2"/>
      </w:pPr>
      <w:r>
        <w:t>Regeste</w:t>
      </w:r>
    </w:p>
    <w:p>
      <w:r>
        <w:t>CONDUITE DU PROCÈS; ATTRIBUTION DE L'EFFET SUSPENSIF; DOMMAGE IRRÉPARABLE | CPC.325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octobre 2015 ne pourra pas se tenir; Que, compte tenu de l'urgence, la présente décision sur effet suspensif est rendue à titre superprovisionnel, avant détermination de l'intimé; Que celui-ci sera invité, par voie de publication, à se déterminer sur l'effet suspensif et sur le fond, dans un délai de 10 jours dès la publication; Qu'il sera statué sur les frais et dépens de l'incident avec la décision au fond (art. 104 al. 3 CPC).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