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C/4752/2023 vom 6. Juni 2024</w:t>
      </w:r>
    </w:p>
    <w:p>
      <w:r>
        <w:t>GE Cour de justice, 2024-06-06, FR</w:t>
      </w:r>
    </w:p>
    <w:p>
      <w:r>
        <w:rPr>
          <w:b/>
        </w:rPr>
        <w:t xml:space="preserve">Quelle: </w:t>
      </w:r>
      <w:r>
        <w:t>https://mcp.opencaselaw.ch/entscheid/ge_gerichte_C_4752_2023</w:t>
      </w:r>
    </w:p>
    <w:p>
      <w:r>
        <w:t>FR: GE_GERICHTE C/4752/2023 du 6 juin 2024</w:t>
      </w:r>
    </w:p>
    <w:p>
      <w:r>
        <w:t>IT: GE_GERICHTE C/4752/2023 del 6 giugno 2024</w:t>
      </w:r>
    </w:p>
    <w:p>
      <w:pPr>
        <w:pStyle w:val="Heading2"/>
      </w:pPr>
      <w:r>
        <w:t>Volltext</w:t>
      </w:r>
    </w:p>
    <w:p>
      <w:r>
        <w:t>Genf Cour de Justice (Cour civile) Chambre civile 10.07.2024 C/4752/2023 Genève Cour de Justice (Cour civile) Chambre civile 10.07.2024 C/4752/2023 Ginevra Cour de Justice (Cour civile) Chambre civile 10.07.2024 C/4752/2023</w:t>
      </w:r>
    </w:p>
    <w:p>
      <w:r>
        <w:t>C/4752/2023 ACJC/903/2024 du 10.07.2024 sur OTPI/344/2024 ( SDF ) Par ces motifs RÉPUBLIQUE ET CANTON DE GENÈVE POUVOIR JUDICIAIRE C/4752/2023 ACJC/903/2024 ARRÊT DE LA COUR DE JUSTICE Chambre civile DU MERCREDI 10 JUILLET 2024 Entre Madame A______ , domiciliée ______, appelante d'une ordonnance rendue par la 8ème Chambre du Tribunal de première instance de ce canton le 6 juin 2024, représentée par Me Tania SANCHEZ WALTER, avocate, SWDS Avocats, Rue du Conseil-Général 4, Case postale 412, 1211 Genève 4, et Monsieur B______ , domicilié ______, intimé, représenté par Me Virginie JORDAN, avocate, JordanLex, Rue de la Rôtisserie 4, 1204 Genève. Attendu, EN FAIT , que la vie commune des époux A______/B______ a pris fin le 15 janvier 2021; Que les relations entre les époux n'ont pas été réglées par un jugement sur mesures protectrices de l'union conjugale; Que par ordonnance du 6 juin 2024, le Tribunal de première instance, statuant sur mesures provisionnelles dans le cadre de la procédure en divorce opposant les époux, a notamment attribué à A______ la garde l'enfant D______, née le ______ 2011, réservé au père un droit de visite sur l'enfant, d'un week-end sur deux et d'un soir une semaine sur deux, et donné acte à B______ de son engagement à verser en mains de A______, par mois et d'avance, allocations familiales non comprises, à titre de contribution à l'entretien de l'enfant, le montant de 1'550 fr. par mois, dès le 15 mars 2022, sous déduction des montants déjà versés à ce titre; que le Tribunal a également dit que les allocations familiales seraient versées en mains de la mère; Que par acte expédié à la Cour de justice le 20 juin 2024, A______ a formé appel contre cette décision, dont elle a sollicité l'annulation; qu'elle a conclu à la condamnation de B______ à verser en ses mains une contribution mensuelle à l'entretien de l'enfant de 3'100 fr., allocations familiales non comprises, dès le 15 mars 2022; Qu'elle a conclu, préalablement, à ce que l'effet suspensif soit accordé à son appel; qu'elle a soutenu que le Tribunal n'avait pas examiné la situation financière des parties dans sa décision; que le montant, dont le Tribunal a donné acte au père de son engagement à verser, de 1'550 fr. par mois, allocations familiales non comprises, était inférieur à celui précédemment versé, de 1'707 fr. 50; qu'en faisant rétraogir la contribution d'entretien au 15 mars 2022, le Tribunal l'avait "indirectement condamné[e]" à verser à B______ un montant de 3'434 fr. 85 à titre de trop-perçu; qu'elle a également fait valoir que les chances de succès de son appel étaient évidentes; Qu'invité à se déterminer, B______ a conclu au rejet de cette requête; qu'il a notamment fait valoir que A______ n'avait ni allégué ni a fortiori démontré que l'hypothétique remboursement de contributions versées en trop par le précité serait difficile; Que les parties ont été avisées par plis du greffe du 9 juillet 2024 de ce que la cause était gardée à juger sur effet suspensif;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l'appelante a sollicité l'effet suspensif, invoquant le fait que le montant de la contribution à l'entretien de l'enfant, de 1'550 fr. par mois, était inférieur à celui versé jusqu'alors par l'intimé; qu'elle chiffre le montant du trop-perçu de contribution à un montant de l'ordre de 3'500 fr.; qu'elle n'allègue pas que le versement de cette somme la placerait dans une situation financière délicate, étant précisé que les revenus mensuels de l'appelante s'élèvent à près de 8'400 fr.; qu'elle ne rend ainsi pas vraisemblable qu'elle pourrait subir un préjudice difficilement réparable; Qu'en conséquence, sa requête sera rejetée;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du chiffre 4 du dispositif de l'ordonnance OTPI/334/2024 rendue le 6 juin 2024 par le Tribunal de première instance dans la cause C/4752/2023-9. Dit qu'il sera statué sur les frais liés à la présente décision dans l'arrêt au fond. Siégeant : Madame Nathalie LANDRY-BARTHE, présidente ad interim ; Madame Emilie FRANÇOIS,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