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C/4748/2018 vom 22. Februar 2021</w:t>
      </w:r>
    </w:p>
    <w:p>
      <w:r>
        <w:t>GE Cour de justice, 2021-02-22, FR</w:t>
      </w:r>
    </w:p>
    <w:p>
      <w:r>
        <w:rPr>
          <w:b/>
        </w:rPr>
        <w:t xml:space="preserve">Quelle: </w:t>
      </w:r>
      <w:r>
        <w:t>https://mcp.opencaselaw.ch/entscheid/ge_gerichte_C_4748_2018</w:t>
      </w:r>
    </w:p>
    <w:p>
      <w:r>
        <w:t>FR: GE_GERICHTE C/4748/2018 du 22 février 2021</w:t>
      </w:r>
    </w:p>
    <w:p>
      <w:r>
        <w:t>IT: GE_GERICHTE C/4748/2018 del 22 febbraio 2021</w:t>
      </w:r>
    </w:p>
    <w:p>
      <w:pPr>
        <w:pStyle w:val="Heading2"/>
      </w:pPr>
      <w:r>
        <w:t>Erwägungen</w:t>
      </w:r>
    </w:p>
    <w:p>
      <w:r>
        <w:rPr>
          <w:b/>
        </w:rPr>
        <w:t>E. 8</w:t>
      </w:r>
    </w:p>
    <w:p>
      <w:r>
        <w:t>L'appel est exempt de frais judiciaire compte tenu de la valeur litigieuse (art. 114 let. c CPC), et ne donne pas lieu à l'allocation de dépens (art. 22 al. 2 LaCC). * * * * * PAR CES MOTIFS, La Chambre des prud'hommes, groupe 5 : A la forme : Déclare recevable l'appel formé le 10 février 2020 par A______ et B______ contre le chiffre 3 du jugement JTPH/9/2020 rendu le 14 janvier 2020 par le Tribunal des prud'hommes dans la cause C/4747/2018. Au fond : Confirme le jugement entrepris. Déboute les parties de toutes autres conclusions. Sur les frais : Dit que la procédure est gratuite. Dit qu'il n'est pas alloué de dépens. Siégeant : Monsieur Jean REYMOND, président; Madame Anne-Christine GERMANIER, juge employeur; Monsieur Willy KNOPFEL, juge salarié; Madame Chloé RAMAT, greffière. Indication des voies de recours et valeur litigieuse : Conformément aux art. 72 ss de la loi fédérale sur le Tribunal fédéral du 17 juin 2005 (LTF; RS 173.110), le présent arrêt peut être porté dans les trente jours qui suivent sa notification avec expédition complète (art. 100 al. 1 LTF) par-devant le Tribunal fédéral par la voie du recours en matière civile. Le recours doit être adressé au Tribunal fédéral, 1000 Lausanne 14. Valeur litigieuse des conclusions pécuniaires au sens de la LTF supérieure ou égale à 15'000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