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C/4701/2020 vom 19. Januar 2021</w:t>
      </w:r>
    </w:p>
    <w:p>
      <w:r>
        <w:t>GE Cour de justice, 2021-01-19, FR</w:t>
      </w:r>
    </w:p>
    <w:p>
      <w:r>
        <w:rPr>
          <w:b/>
        </w:rPr>
        <w:t xml:space="preserve">Quelle: </w:t>
      </w:r>
      <w:r>
        <w:t>https://mcp.opencaselaw.ch/entscheid/ge_gerichte_C_4701_2020</w:t>
      </w:r>
    </w:p>
    <w:p>
      <w:r>
        <w:t>FR: GE_GERICHTE C/4701/2020 du 19 janvier 2021</w:t>
      </w:r>
    </w:p>
    <w:p>
      <w:r>
        <w:t>IT: GE_GERICHTE C/4701/2020 del 19 gennaio 2021</w:t>
      </w:r>
    </w:p>
    <w:p>
      <w:pPr>
        <w:pStyle w:val="Heading2"/>
      </w:pPr>
      <w:r>
        <w:t>Regeste</w:t>
      </w:r>
    </w:p>
    <w:p>
      <w:r>
        <w:t>PROTECTION DE L'UNION CONJUGALE;MESURE PROVISIONNELLE;OBLIGATION D'ENTRETIEN;CONJOINT;REVENU HYPOTHÉTIQUE | CC.176.al1.ch1</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 le présent litige porte exclusivement sur le montant de la contribution à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 er décembre 2014 consid. 6.2, 5A_757/2013 du 14 juillet 2014 consid. 2.1 et 5A_574/2013 du 9 octobre 2013).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w:t>
      </w:r>
    </w:p>
    <w:p>
      <w:r>
        <w:rPr>
          <w:b/>
        </w:rPr>
        <w:t>E. 1.3</w:t>
      </w:r>
    </w:p>
    <w:p>
      <w:r>
        <w:t>Des mesures provisionnelles peuvent valablement être prononcées dans le cadre d'une procédure de mesures protectrices de l'union conjugale, notamment lorsque cette procédure risque de se prolonger ( ACJC/474/2016 du 8 avril 2016 consid. 2.1; ACJC/1237/2015 du 16 octobre 2015 consid. 3.3.1; ACJC/395/2015 du 27 mars 2015 consid. 3.3.1; arrêt du Tribunal fédéral 5A_870/2013 du 28 octobre 2014 consid. 5). De telles mesures ne peuvent toutefois être ordonnées que pour autant que les conditions posées par l'art. 261 CPC soient réunies ( ACJC/154/2014 du 7 février 2014 consid. 4). En l'espèce, l'opportunité du prononcé de mesures provisionnelles n'est pas contestée par les parties, de telle sorte qu'il n'y a pas lieu de l'examiner.</w:t>
      </w:r>
    </w:p>
    <w:p>
      <w:r>
        <w:rPr>
          <w:b/>
        </w:rPr>
        <w:t>E. 1.4</w:t>
      </w:r>
    </w:p>
    <w:p>
      <w:r>
        <w:t>Les parties ont produit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1.4.2</w:t>
      </w:r>
    </w:p>
    <w:p>
      <w:r>
        <w:t>En l'espèce, les pièces produites - lesquelles ont été établies après que la cause a été gardée à juger par le Tribunal ou dont la production par l'intimée a été sollicitée par l'appelant - sont recevables, à l'exception du certificat médical daté d'avril 2020 et du décompte de la caisse de pension de l'intimée daté de 2019, qui auraient pu être produits en première instance et sont, dès lors, irrecevables, du justificatif de paiement en faveur de F______ [haute école] daté de 2018, qui concerne un allégué de fait nouveau irrecevable formulé par l'appelant, ainsi que de la pièce produite le 1 er novembre 2020 après que la cause a été gardée à juger par la Cour.</w:t>
      </w:r>
    </w:p>
    <w:p>
      <w:r>
        <w:rPr>
          <w:b/>
        </w:rPr>
        <w:t>E. 2</w:t>
      </w:r>
    </w:p>
    <w:p>
      <w:r>
        <w:t>La présente cause présente des éléments d'extranéité en raison de la nationalité des parties. Celles-ci ne contestent, à juste titre, pas la compétence des autorités judiciaires genevoises (art. 59 et 62 al. 1 LDIP) et l'application du droit suisse (art. 62 al. 2 et 3 LDIP; art. 4 al. 1 de la Convention de La Haye sur la loi applicable aux obligations alimentaires du 2 octobre 1973 - RS 0.211.213.01) au présent litige.</w:t>
      </w:r>
    </w:p>
    <w:p>
      <w:r>
        <w:rPr>
          <w:b/>
        </w:rPr>
        <w:t>E. 3</w:t>
      </w:r>
    </w:p>
    <w:p>
      <w:r>
        <w:t>L'appelant sollicite la production de pièces par son épouse - notamment ses fiches de salaire de 2015 à 2017 -, ainsi que l'audition d'un ami et de son fils. Dans sa réponse à l'appel, l'intimée a produit ses fiches de salaire entre janvier 2016 et avril 2017.</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En l'espèce, les mesures d'instruction sollicitées n'apparaissent pas nécessaires pour la solution du litige, la situation financière des parties pouvant être déterminée avec un degré de vraisemblance suffisant au moyen des pièces du dossier. Cette solution s'impose également au regard du principe de célérité applicable à la présente procédure. Au vu de ce qui précède, la Cour s'estime, à ce stade de la procédure et compte tenu de la nature sommaire de celle-ci, suffisamment renseignée sur la situation financière des époux. Il ne se justifie dès lors pas de donner suite aux mesures d'instruction sollicitées par l'appelant.</w:t>
      </w:r>
    </w:p>
    <w:p>
      <w:r>
        <w:rPr>
          <w:b/>
        </w:rPr>
        <w:t>E. 4</w:t>
      </w:r>
    </w:p>
    <w:p>
      <w:r>
        <w:t>L'intimée sollicite, préalablement, qu'il soit constaté que son époux ne s'est pas acquitté de la contribution d'entretien fixée par l'ordonnance entreprise et qu'il n'a pas sollicité la restitution de l'effet suspensif de celle-ci. Celle-ci n'ayant pas fait appel contre l'ordonnance entreprise, ses conclusions préalables sont irrecevables, étant relevé qu'elle ne dispose en tout état pas d'un intérêt digne de protection auxdites constatations, ayant la possibilité d'engager une procédure d'exécution, dans le cadre de laquelle la question du caractère exécutoire de l'ordonnance contestée sera examinée à titre préjudiciel.</w:t>
      </w:r>
    </w:p>
    <w:p>
      <w:r>
        <w:rPr>
          <w:b/>
        </w:rPr>
        <w:t>E. 5</w:t>
      </w:r>
    </w:p>
    <w:p>
      <w:r>
        <w:t>L'appelant remet en cause la contribution à l'entretien de l'intimée fixée par le premier juge. Il soutient que la situation financière des parties a été mal évaluée et qu'il ne doit verser qu'une contribution à l'entretien de son épouse de 745 fr. 70 au plus.</w:t>
      </w:r>
    </w:p>
    <w:p>
      <w:r>
        <w:rPr>
          <w:b/>
        </w:rPr>
        <w:t>E. 5.1</w:t>
      </w:r>
    </w:p>
    <w:p>
      <w:r>
        <w:t>Le principeet le montant de la contribution d'entretien due selon l'art. 176 al. 1 ch. 1 CC - applicable par analogie aux mesures provisionnelles (art. 276 al. 1 2 ème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5C_100/2002 du 11 juillet 2002 consid. 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in JT 2010 I 167 ; 127 III 68 consid. 2, in SJ 2001 I 280; arrêt du Tribunal fédéral 5A_662/2013 du 24 juin 2014 consid. 3.2.1).</w:t>
      </w:r>
    </w:p>
    <w:p>
      <w:r>
        <w:rPr>
          <w:b/>
        </w:rPr>
        <w:t>E. 5.2</w:t>
      </w:r>
    </w:p>
    <w:p>
      <w:r>
        <w:t>Pour fixer la contribution d'entretien, le juge doit en principe tenir compte du revenu effectif des parties. Il peut toutefois imputer un revenu hypothétique à l'une des parties, dans la mesure où celle-ci pourrait le réaliser en faisant preuve de bonne volonté et en accomplissant l'effort qui peut être raisonnablement exigé d'elle (ATF 137 III 102 consid. 4.2.2.2 et les références; arrêts du Tribunal fédéral 5A_564/2014 du 1 er octobre 2014 consid. 5.1 et 5A_662/2013 du 24 juin 2014 consid. 3.2.2 et les réf. cit.).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arrêts du Tribunal fédéral 5A_587/2013 du 26 novembre 2013 consid. 6.1.1; 5A_99/2011 du 26 septembre 2011 consid. 7.4.2).</w:t>
      </w:r>
    </w:p>
    <w:p>
      <w:r>
        <w:rPr>
          <w:b/>
        </w:rPr>
        <w:t>E. 5.3</w:t>
      </w:r>
    </w:p>
    <w:p>
      <w:r>
        <w:t>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du Tribunal fédéral 5A_158/2010 du 25 mars 2010 consid. 3.2).</w:t>
      </w:r>
    </w:p>
    <w:p>
      <w:r>
        <w:rPr>
          <w:b/>
        </w:rPr>
        <w:t>E. 5.4</w:t>
      </w:r>
    </w:p>
    <w:p>
      <w:r>
        <w:t>En l'espèce, les parties ne contestent ni l'application de la méthode du minimum vital avec répartition de l'excédent ni la fixation du dies a quo du versement de la contribution d'entretien au jour du prononcé de l'ordonnance entreprise.</w:t>
      </w:r>
    </w:p>
    <w:p>
      <w:r>
        <w:rPr>
          <w:b/>
        </w:rPr>
        <w:t>E. 5.4.1</w:t>
      </w:r>
    </w:p>
    <w:p>
      <w:r>
        <w:t>L'appelant perçoit un salaire moyen net d'environ 8'000 fr. par mois. Ses charges incompressibles s'élèvent à 2'672 fr. par mois en juin et juillet 2020, à 3'452 fr. pour le mois d'août 2020, puis à 4'232 fr. dès septembre 2020, comprenant son loyer (0 fr. pour juin et juillet 2020; 780 fr. pour le mois d'août 2020 correspondant au loyer dû dès le 15 août 2020; 1'560 fr. dès septembre 2020), la prime d'assurance-maladie LAMal (474 fr. 95), les frais de transports publics (70 fr., en lieu et place des frais pour un véhicule, dont l'appelant n'a pas rendu vraisemblable la nécessité), la prime d'assurance ménage (26 fr. 45), la contribution à l'entretien de son fils majeur (900 fr.) et le montant de base selon les normes OP (1'200 fr.). L'appelant dispose, ainsi, d'un montant mensuel de 5'328 fr. en juin et juillet 2020, de 4'548 fr. en août 2020, puis de 3'768 fr. dès septembre 2020.</w:t>
      </w:r>
    </w:p>
    <w:p>
      <w:r>
        <w:rPr>
          <w:b/>
        </w:rPr>
        <w:t>E. 5.4.2</w:t>
      </w:r>
    </w:p>
    <w:p>
      <w:r>
        <w:t>L'intimée a travaillé comme vendeuse entre septembre 2015 et avril 2017 pour un salaire moyen net d'environ 3'000 fr. par mois. Elle est sans emploi depuis lors. Elle a perçu des indemnités-chômage entre septembre 2017 et mars 2019. Depuis avril 2020, elle est au bénéfice de l'aide sociale de l'Hospice Général. Le stage en formation de secrétaire administrative qu'elle a suivi au début de l'année 2020 a été reconduit de manière non rémunérée en juillet et août 2020, puis de manière rémunérée à hauteur de 920 fr. par mois en septembre et octobre 2020. Elle a justifié moins d'une quinzaine de recherches d'emploi effectuées entre juillet et novembre 2019 pour des postes d'assistante administrative, réceptionniste, assistante sociale ou vendeuse. Il convient de retenir que l'intimée n'a pas rendu vraisemblable avoir effectué les recherches sérieuses et actives que l'on pouvait attendre d'elle pour retrouver un emploi, de sorte qu'il lui sera imputé un revenu hypothétique après un délai de six mois dès le dépôt de sa requête (ce délai tenant compte des mesures sanitaires mises en place au printemps 2020), soit dès septembre 2020, d'un montant mensuel brut de 4'000 fr., correspondant à environ 3'400 fr. nets, pour un emploi dans le secteur des services administratifs (réceptionniste, guichetier, etc.) à Genève pour une personne de 35 ans, sans formation professionnelle et sans fonction de cadre, à raison de 40 heures de travail par semaine selon le calculateur national de salaire du SECO disponible sur Internet. Les charges incompressibles et non contestées de l'intimée s'élèvent à 2'771 fr. 05 par mois (cf. supra EN FAIT let D.b). Elle a, dès lors, dû faire face à un déficit mensuel d'environ 2'771 fr. entre juin et août 2020. Depuis septembre 2020, elle dispose d'un montant mensuel d'environ 629 fr.</w:t>
      </w:r>
    </w:p>
    <w:p>
      <w:r>
        <w:rPr>
          <w:b/>
        </w:rPr>
        <w:t>E. 5.4.3</w:t>
      </w:r>
    </w:p>
    <w:p>
      <w:r>
        <w:t>Au vu de ce qui précède, en particulier de la situation financière respective des parties, l'intimée aurait droit, pour les mois de juin à août 2020, à la couverture de son déficit (2'771 fr.) et à la moitié du disponible de l'appelant (pour juin et juillet 2020 : ([5'328 fr. - 2'771 fr.] / 2) = 1'278 fr. 50; pour août 2020 : ([4'548 fr. - 2'771 fr.] / 2) = 888 fr. 50), soit à 4'049 fr. 50 pour juillet 2020 (2'771 fr. + 1'278 fr. 50) et 3'659 fr. 50 pour août 2020 (2'771 fr. + 888 fr. 50). Toutefois, conformément au principe de l'interdiction de la reformatio in pejus , dans la mesure où l'intimée n'a pas fait appel contre l'ordonnance entreprise, le montant de la contribution mensuelle à son entretien fixé à 3'450 fr. par le premier juge sera confirmé. Dès le mois de septembre 2020, l'intimée peut prétendre au versement en sa faveur d'un montant d'environ 1'570 fr. ([(3'768 fr. + 629 fr.) / 2] - 629 fr.). Par conséquent, le chiffre 3 du dispositif de l'ordonnance attaquée sera annulé et il sera statué dans le sens de ce qui précède. Le chiffre 7 sera, pour sa part, confirmé.</w:t>
      </w:r>
    </w:p>
    <w:p>
      <w:r>
        <w:rPr>
          <w:b/>
        </w:rPr>
        <w:t>E. 6</w:t>
      </w:r>
    </w:p>
    <w:p>
      <w:r>
        <w:t>Les frais judiciaires d'appel seront fixés à 1'000 fr. (art. 95, 104 al. 1, 105, 106 al. 1 et al. 2 CPC; art. 31 et 37 RTFMC). Pour des motifs d'équité liés à la nature du litige, ils seront répartis à parts égales entre les époux (art. 107 al. 1 let. c CPC). Dans la mesure où l'intimée plaide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dans la mesure de l'art. 123 CPC (art. 19 RAJ). La part de l'appelant sera compensée avec l'avance fournie par lui à concurrence de 500 fr. et le solde de ladite avance lui sera restitué. Pour les mêmes motifs, les époux supporteront leurs propres dépens (art. 107 al. 1 let. c. CPC). * * * * * PAR CES MOTIFS, La Chambre civile : A la forme : Déclare recevable l'appel interjeté le 22 juin 2020 par A______ contre les chiffres 3 et 7 du dispositif de l'ordonnance OTPI/350/2020 rendue le 4 juin 2020 par le Tribunal de première instance dans la cause C/4701/2020-22. Au fond : Annule le chiffre 3 du dispositif de l'ordonnance entreprise. Cela fait, statuant à nouveau sur ce point : Condamne A______ à verser, par mois et d'avance, une contribution à l'entretien de B______ de 3'450 fr. entre le 4 juin 2020 et le 31 août 2020, puis de 1'570 fr. dès le 1 er septembre 2020. Confirme le chiffre 7 dudit dispositif. Déboute les parties de toutes autres conclusions. Sur les frais : Arrête les frais judiciaires d'appel à 1'000 fr., les met à la charge des parties par moitié chacune et les compense à hauteur de 500 fr. avec l'avance de 1'000 fr. fournie par A______. Invite les Services financiers du Pouvoir judiciaire à restituer le solde de l'avance, en 500 fr., à A______. Laisse provisoirement la part des frais de B______, soit 500 fr., à la charge de l'Etat de Genève.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