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C/4646/2016 vom 21. Oktober 2016</w:t>
      </w:r>
    </w:p>
    <w:p>
      <w:r>
        <w:t>GE Cour de justice, 2016-10-21, FR</w:t>
      </w:r>
    </w:p>
    <w:p>
      <w:r>
        <w:rPr>
          <w:b/>
        </w:rPr>
        <w:t xml:space="preserve">Quelle: </w:t>
      </w:r>
      <w:r>
        <w:t>https://mcp.opencaselaw.ch/entscheid/ge_gerichte_C_4646_2016</w:t>
      </w:r>
    </w:p>
    <w:p>
      <w:r>
        <w:t>FR: GE_GERICHTE C/4646/2016 du 21 octobre 2016</w:t>
      </w:r>
    </w:p>
    <w:p>
      <w:r>
        <w:t>IT: GE_GERICHTE C/4646/2016 del 21 ottobre 2016</w:t>
      </w:r>
    </w:p>
    <w:p>
      <w:pPr>
        <w:pStyle w:val="Heading2"/>
      </w:pPr>
      <w:r>
        <w:t>Regeste</w:t>
      </w:r>
    </w:p>
    <w:p>
      <w:r>
        <w:t>MAINLEVÉE PROVISOIRE; FOR DE LA POURSUITE; RECONNAISSANCE DE DETTE | LP.46.1; LP.82</w:t>
      </w:r>
    </w:p>
    <w:p>
      <w:pPr>
        <w:pStyle w:val="Heading2"/>
      </w:pPr>
      <w:r>
        <w:t>Volltext</w:t>
      </w:r>
    </w:p>
    <w:p>
      <w:r>
        <w:t>Genève Cour de Justice (Cour civile) Chambre civile (Sommaires) 21.10.2016 C/4646/2016</w:t>
      </w:r>
    </w:p>
    <w:p>
      <w:r>
        <w:t>MAINLEVÉE PROVISOIRE; FOR DE LA POURSUITE; RECONNAISSANCE DE DETTE | LP.46.1; LP.82</w:t>
      </w:r>
    </w:p>
    <w:p>
      <w:r>
        <w:t>C/4646/2016 ACJC/1380/2016 du 21.10.2016 sur JTPI/8203/2016 ( SML ) , JUGE Descripteurs : MAINLEVÉE PROVISOIRE; FOR DE LA POURSUITE; RECONNAISSANCE DE DETTE Normes : LP.46.1; LP.82 En fait En droit Par ces motifs RÉPUBLIQUE ET CANTON DE GENÈVE POUVOIR JUDICIAIRE C/4646/2016 ACJC/1380/2016 ARRÊT DE LA COUR DE JUSTICE Chambre civile du VENDREDI 21 OCTOBRE 2016 Entre A______ , sise ______, (NE), recourante contre un jugement rendu par la 11ème Chambre du Tribunal de première instance de ce canton le 20 juin 2016, comparant par Me Gérard Bosshart, avocat, avenue Léopold-Robert 76, 2300 La Chaux-de-Fonds, en l'étude duquel elle fait élection de domicile, et B______ , sise ______, Bâle, intimée, comparant par Me Philippe Eigenheer, avocat, rue Bartholoni 6, case postale 5210, 1211 Genève 11, en l'étude duquel elle fait élection de domicile. EN FAIT A. Par jugement JTPI/8203/2016 du 20 juin 2016, expédié pour notification aux parties le 30 juin suivant, le Tribunal de première instance, statuant par voie de procédure sommaire, a prononcé la mainlevée provisoire de l'opposition formée au commandement de payer, poursuite n° 1______ (ch. 1 du dispositif), a arrêté les frais judiciaires à 300 fr., compensés avec l'avance fournie par B______ (ch. 2), les a mis à la charge de A______, condamnée à les verser à celle-là (ch. 3). Le premier juge a retenu, sans autre explication, que les pièces produites par B______ valaient reconnaissance de dette et que A______ n'avait fait valoir aucun moyen libératoire, de sorte que la mainlevée provisoire de l'opposition devait être prononcée. B. a. Par acte expédié le 7 juillet 2016 au greffe de la Cour de justice, A______ a formé recours contre ce jugement, sollicitant son annulation. Elle a conclu à l'irrecevabilité de la requête de mainlevée provisoire, et, subsidiairement, à son rejet, avec suite de frais et dépens. Ella a préalablement requis la suspension du caractère exécutoire de la décision entreprise, conclusion à laquelle la Cour a fait droit par arrêt présidentiel du 22 juillet 2016 ( ACJC/1007/2016 ). A______ a produit une pièce nouvelle, soit deux extraits du Registre du commerce de Neuchâtel. Elle a reproché au Tribunal de ne pas avoir retenu que le for, impératif, de la poursuite se trouvait dans le canton de Neuchâtel, siège de la société. Par ailleurs, le contrat d'assurance conclu entre les parties ne valait pas titre de mainlevée, celui-ci ne comportant aucun montant déterminé ou aisément déterminable. b. Dans sa réponse du 21 juillet 2016, B______ (ci-après : B______) s'est rapportée à justice quant à la recevabilité du recours et à son bien-fondé, de même que s'agissant des frais et dépens. c. Par plis du greffe du 29 août 2016, les parties ont été avisées de ce que la cause était gardée à juger, A______ n'ayant pas fait usage de son droit de réplique. C. Les faits pertinents suivants résultent de la procédure de première instance : a. A______ (ci-après : A______), inscrite au Registre du commerce de Neuchâtel le ______ 2004, a pour but l'exploitation d'une entreprise de construction en tant qu'entreprise générale, tous travaux de maçonnerie, carrelage et béton armé, ainsi que l'acquisition, la gestion ou la vente de tout bien mobilier ou immobilier. Son siège social est sis ______ (NE). b. Le 17 juin 2005, B______ a soumis à A______ une proposition d'assurance de garantie pour entrepreneur, relative à une villa en construction à ______ (FR), travaux sollicité par les époux C______ et D______. Le coût du travail que A______ devait effectuer s'élevait à 599'050 fr. et le montant de la garantie était de 59'905 fr. A______ a accepté cette proposition. B______ a ainsi émis, le 20 juin 2005, un certificat de garantie (2______), pour le montant susmentionné, en faveur des époux C______ et D______. L'art. 2 des conditions générales de l'assurance, édition 1979, jointes au certificat de garantie, prévoit que dès que B______ reçoit une réclamation, elle en informe l'entrepreneur, lequel est tenu de remettre les choses en état à ses frais. Lorsque B______ se charge elle-même de ce travail, l'entrepreneur doit la seconder dans toute la mesure du possible. Si la réclamation donne lieu à une expertise, procédure judiciaire ou autre, l'entrepreneur doit en supporter tous les frais. Il doit en outre rembourser à B______ toutes les dépenses, y compris les intérêts et frais, qu'elle estime devoir effectuer en vue de la garantie. c. Dès la mi-juin 2006, C______, propriétaire de la parcelle en cause, a adressé à B______ des correspondances faisant état de divers problèmes rencontrés dans la villa. d. Une réunion s'est tenue entre les parties, C______ et l'architecte mandaté par elle, E______, le 22 novembre 2007. e. Le 19 août 2008 E______ a adressé à C______ une note d'honoraires relative aux "travaux de garantie de l'entreprise A______", d'un montant de 7'110 fr. f. Par courrier du 17 juillet 2009, B______ a requis des informations complémentaires de A______ concernant des travaux de charpente devant être effectués dans la villa et lui a indiqué qu'elle verserait prochainement un montant de 2'500 fr. à E______ à titre de règlement partiel de sa note d'honoraires. g. En 2012, B______ a mandaté F______ en vue de procéder à une expertise. Les 11 janvier, 2 février, 8 mars 2011 et 6 juin 2012, F______ a adressé à B______ quatre factures, de respectivement, 645 fr., 1'230 fr., 1'020 fr. et 1'735 fr. (soit un total de 4'630 fr.). h. Le 6 février 2015, B______ a adressé à A______ une facture, d'un montant de 7'130 fr. (2'500 fr. + 4'630 fr.), à titre de franchise. Par pli du 24 février 2015, A______ s'est opposée au versement de cette somme, considérant ne pas être responsable des problèmes survenus dans la villa en cause. i. Le 10 juin 2015, B______ a fait notifier à A______, par l'Office des poursuites de la Chaux-de-Fonds (NE), un commandement de payer, poursuite n° 1______, portant sur les montants de 7'130 fr., 30 fr. de frais de sommation et 100 fr. de frais de dossier. A______ y a formé opposition. j. Par requête expédiée le 8 mars 2016 au Tribunal, B______ a requis le prononcé de la mainlevée provisoire de l'opposition formée à la poursuite précitée et a indiqué que la créance résultait de la prime d'assurance due par A______. A l'appui de sa demande, elle a notamment produit la proposition de contrat, les factures en cause, ainsi que de nombreux échange de correspondances entre les parties, respectivement entre le conseil de A______ et B______. k. Par détermination du 26 mai 2016, A______ a conclu au rejet de la requête, avec suite de frais et dépens. Elle a notamment fait valoir que le montant réclamé par B______ ne concernait pas une facture de prime mais le remboursement d'une facture, dont elle contestait le bien-fondé. l. Par courrier du 30 mai 2016, B______ a indiqué au Tribunal que sa créance concernait une facture relative à un sinistre et non à un décompte de prime. m. Aucune des parties ne s'est présentée ni fait représenter à l'audience du Tribunal du 20 juin 2016. EN DROIT 1. 1.1 En matière de mainlevée d'opposition, seule la voie du recours est ouverte (art. 309 let. b ch. 3 et 319 let. a CPC). ![endif]&gt;![if&gt;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1.3 La recourante a produit deux pièces nouvelles, soit des extraits du Registre du commerce la concernant.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(ATF138 II 557 consid. 6.2; arrêt du Tribunal fédéral 4A_509/2014 du 4 février 2015 consid. 2.1). Ces pièces sont par conséquent recevables, ainsi que les allégués de fait s'y rapportant. 2. La recourante reproche au premier juge d'avoir prononcé la mainlevée de l'opposition, le for de la poursuite étant celui de son siège social, soit dans le canton de Neuchâtel. 2.1 Le for ordinaire de la poursuite est au domicile du débiteur (art. 46 al. 1 LP). Le moyen pris de ce que la poursuite a été introduite à un for irrégulier ressortit exclusivement à l'autorité de surveillance et, dès lors, ne peut être pris en considération par le juge de la mainlevée (ATF 120 III 7 consid. 3; arrêt du Tribunal fédéral 5A_414/2010 du 20 août 2010 consid. 2.2; Gilliéron, Commentaire de la LP, vol. I, 1999, n. 32 ad art. 46-55 LP; Panchaud/Caprez, Die Rechtsöffnung, La mainlevée d'opposition, 1980, § 44 p. 102). Autrement dit, le poursuivi, qui n'a pas attaqué par la voie de la plainte dirigée contre la notification du commandement de payer la compétence ratione loci de l'office des poursuites qui a rédigé, notifié ou fait notifier le commandement de payer, n'est pas recevable à soulever ce moyen dans la procédure sommaire d'annulation de l'opposition par la mainlevée (ATF 76 I 45 consid. 3; Gilliéron, op. cit., n. 24 ad art. 84 LP). 2.2 Au vu de ce qui précède, le grief de la recourante n'a pas à être examiné par le juge de la mainlevée. 3. La recourante reproche par ailleurs au Tribunal d'avoir retenu que les pièces produites par l'intimée valaient reconnaissance de dette et partant titre de mainlevée.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Jaeger/Walder/Kull/Kottmann, Bundesgesetz über Schuldbetreibung und Konkurs, 4 ème édition, 1997, n. 10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Plus particulièrement, le Tribunal fédéral a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(ATF 114 III 71 critiqué par Staehelin, op. cit., n. 26 ad art. 82 LP). Si, dans ce cas d'espèce,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à cet égard : Stücheli, op. cit., p. 191). Si le Tribunal fédéral a pu, à l'occasion, admettre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(arrêt du Tribunal fédéral 5P.460/1992 du 25 février 1993 consid. 2, in Rep 1994 p. 254). Des factures ne valent pas reconnaissance de dette et ce, même si elles ne sont pas contestées (arrêt du Tribunal fédéral 5P.290/2006 du 12 octobre 2006 consid. 3.2). 3.2 Dans le cas d'espèce, on ne saurait prononcer la mainlevée pour un montant qui n'était pas déterminé ou aisément déterminable au moment où le débiteur a apposé sa signature sur le document d'où résulte son engagement. En effet, si l'art. 2 des conditions générales applicables à la garantie pour défaut d'ouvrage en cause prévoit l'obligation générale de régler des frais d'expertise, le montant de ceux-ci n'est pas précisé. Il s'ensuit que le contrat ne vaut pas reconnaissance de dette, au sens de la jurisprudence rappelée ci-avant. Les autres titres versés à la procédure, pris isolément ou dans leur ensemble, ne permettent pas non plus de retenir que la recourante aurait reconnu devoir le montant de 7'130 fr. Au contraire, la recourante s'est opposée aux prétentions de l'intimée. 3.3 Par conséquent, le recours est fondé et le jugement entrepris sera annulé. Il sera statué à nouveau (art. 327 al. 3 let. b CPC) dans le sens du rejet de la requête de mainlevée provisoire de l'opposition. 4.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de l'intimée, compensé avec l'avance de frais du même montant opérée par la recourante, laquelle demeure acquise à l'Etat (art. 111 al. 1 CPC). L'intimée sera en conséquence condamnée à verser 450 fr. à la recourante à ce titre (art. 111 al. 2 CPC). L'intimée sera en outre condamnée à verser à la recourante la somme de 1'000 fr. à titre de dépens de recours, débours et TVA compris (art. 105 al. 2 CPC; art. 84, 85, 89 et 89 RTFMC; art. 23, 25 et 26 LaCC). * * * * * PAR CES MOTIFS, La Chambre civile : A la forme : Déclare recevable le recours interjeté le 7 juillet 2016 par A______ contre le jugement JTPI/8203/2016 rendu le 20 juin 2016 par le Tribunal de première instance dans la cause C/4646/2016-11 SML. Au fond : Annule ce jugement. Cela fait et statuant à nouveau : Déboute B______ des fins de sa requête en mainlevée provisoire de l'opposition. Déboute les parties de toutes autres conclusions. Sur les frais : Arrête les frais judiciaires de première instance et de recours à 750 fr., compensés avec les avances de frais fournies, lesquelles demeures acquises à l'Etat de Genève et les met à la charge de B______. Condamne B______ à verser 450 fr. à A______ à ce titre. Condamne B______ à verser à A______ 1'000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