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C/456/2014 vom 17. März 2014</w:t>
      </w:r>
    </w:p>
    <w:p>
      <w:r>
        <w:t>GE Cour de justice, 2014-03-17, FR</w:t>
      </w:r>
    </w:p>
    <w:p>
      <w:r>
        <w:rPr>
          <w:b/>
        </w:rPr>
        <w:t xml:space="preserve">Quelle: </w:t>
      </w:r>
      <w:r>
        <w:t>https://mcp.opencaselaw.ch/entscheid/ge_gerichte_C_456_2014</w:t>
      </w:r>
    </w:p>
    <w:p>
      <w:r>
        <w:t>FR: GE_GERICHTE C/456/2014 du 17 mars 2014</w:t>
      </w:r>
    </w:p>
    <w:p>
      <w:r>
        <w:t>IT: GE_GERICHTE C/456/2014 del 17 marzo 2014</w:t>
      </w:r>
    </w:p>
    <w:p>
      <w:pPr>
        <w:pStyle w:val="Heading2"/>
      </w:pPr>
      <w:r>
        <w:t>Regeste</w:t>
      </w:r>
    </w:p>
    <w:p>
      <w:r>
        <w:t>CAS CLAIR; EXPULSION DE LOCATAIRE; DÉFAUT DE PAIEMENT | CO.257d.1; CPC.257</w:t>
      </w:r>
    </w:p>
    <w:p>
      <w:pPr>
        <w:pStyle w:val="Heading2"/>
      </w:pPr>
      <w:r>
        <w:t>Erwägungen</w:t>
      </w:r>
    </w:p>
    <w:p>
      <w:r>
        <w:rPr>
          <w:b/>
        </w:rPr>
        <w:t>E. 1</w:t>
      </w:r>
    </w:p>
    <w:p>
      <w:r>
        <w:t>Selon l'art. 121 al. 2 LOJ, dans les causes fondées sur l'art. 257d CO, la Chambre des baux et loyers de la Cour de justice siège sans assesseurs.</w:t>
      </w:r>
    </w:p>
    <w:p>
      <w:r>
        <w:rPr>
          <w:b/>
        </w:rPr>
        <w:t>E. 2</w:t>
      </w:r>
    </w:p>
    <w:p>
      <w:r>
        <w:t>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consid. 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2.2</w:t>
      </w:r>
    </w:p>
    <w:p>
      <w:r>
        <w:t>En l'espèce, la présente procédure a trait à une demande d'évacuation avec mesures d'exécution directe, dans laquelle la question de la nullité du congé se pose. Compte tenu de la période de protection de trois ans, la valeur litigieuse est inférieure au seuil de 10'000 fr., au vu du loyer de 235 fr. mensuel, objet de la présente procédure (235 fr. x 12 mois x 3 ans = 8'460 fr.). Seule la voie du recours est ainsi ouverte.</w:t>
      </w:r>
    </w:p>
    <w:p>
      <w:r>
        <w:rPr>
          <w:b/>
        </w:rPr>
        <w:t>E. 2.3</w:t>
      </w:r>
    </w:p>
    <w:p>
      <w:r>
        <w:t>Selon l'art. 319 CPC, le recours, écrit et motivé, est introduit auprès de l'instance d'appel dans les trente jours à compter de la notification de la décision, laquelle doit être jointe au dossier d'appel. Le délai d'appel est réduit à dix jours si la décision a été rendue en procédure sommaire (art. 321 al. 2 CPC), ce qui est le cas en l'espèce (art. 248 lit. b CPC). Le recours, interjeté dans le délai et suivant la forme prescrite par la loi (art. 130, 131, 311 al. 1 CPC) est ainsi recevable.</w:t>
      </w:r>
    </w:p>
    <w:p>
      <w:r>
        <w:rPr>
          <w:b/>
        </w:rPr>
        <w:t>E. 2.4</w:t>
      </w:r>
    </w:p>
    <w:p>
      <w:r>
        <w:t>Le recours est une voie de droit extraordinaire, limitée pour l'essentiel aux violations du droit (art. 320 let. a CPC). Sur les questions juridiques, le pouvoir de cognition de la Cour est le même qu'en cas d'appel (Lachat, Procédure civile en matière de baux et loyers, Lausanne 2011, ch. 3.3.1). S'agissant des faits, le recourant ne peut se plaindre que d'une constatation manifestement inexacte des faits (art. 320 let. b CPC). Cette condition n'est remplie que si les faits ont été établis de manière arbitraire (violation de l'art. 9 Cst.), par exemple lorsqu'ils contredisent clairement les pièces versées au dossier (Message du Conseil fédéral du 28 juin 2006 relatif au Code de procédure civile suisse, in FF 2006, p. 6894 ad art. 317).</w:t>
      </w:r>
    </w:p>
    <w:p>
      <w:r>
        <w:rPr>
          <w:b/>
        </w:rPr>
        <w:t>E. 3</w:t>
      </w:r>
    </w:p>
    <w:p>
      <w:r>
        <w:t>3.1 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4A_585/2011 du 7 novembre 2011 consid. 3; Bohnet, Code de procédure civile commenté, BOHNET/HALDY/JEANDIN/SCHWEIZER/TAPPY (éd.), Bâle, 2011, n. 9 ad art. 257 CPC; Hofmann/Luscher, Le code de procédure civile, 2009, p. 165; Lachat, op. cit., ch. 4.4.2.2, p. 167).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Pour obtenir la protection dans les cas clairs, le requérant doit apporter immédiatement la preuve stricte des faits qui fondent sa prétention. Selon l'art. 254 al. 1 CPC, la preuve est en principe rapportée par titres, conformément à l'art. 254 al. 1 CPC (ATF 138 III 636 consid. 4.3.1; arrêt du Tribunal fédéral 4A_241/2012 du 7 août 2012 consid. 4). La preuve n'est pas facilitée : le demandeur doit ainsi apporter une preuve certaine ("voller Beweis") des faits justifiant sa prétention; la simple vraisemblance ("Glaubhaftmachen") ne suffit pas (arrêt du Tribunal fédéral 5A_768/2012 du 17 mai 2013 consid. 4.2.1).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Le Tribunal n'entre pas en matière sur la requête lorsque les conditions susmentionnées ne sont pas remplies (art. 257 al. 3 CPC); dans un tel cas, il doit donc déclarer la demande irrecevable (Bohnet, Procédure civile, Tome II, Berne 2010, n. 23 ad art. 257).</w:t>
      </w:r>
    </w:p>
    <w:p>
      <w:r>
        <w:rPr>
          <w:b/>
        </w:rPr>
        <w:t>E. 3.2</w:t>
      </w:r>
    </w:p>
    <w:p>
      <w:r>
        <w:t>La maxime des débats s'applique à la procédure des cas clairs (arrêt du Tribunal fédéral 4A_447/2011 du 20.9.2011).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w:t>
      </w:r>
    </w:p>
    <w:p>
      <w:r>
        <w:rPr>
          <w:b/>
        </w:rPr>
        <w:t>E. 3.3</w:t>
      </w:r>
    </w:p>
    <w:p>
      <w:r>
        <w:t>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Selon la jurisprudence et la doctrine, la mise en demeure doit expressément indiquer les loyers impayés et préciser qu'à défaut de paiement dans le délai imparti le bail sera résilié. Le montant impayé doit ressortir de cet avis de façon suffisamment claire et précise. Une indication chiffrée n'est pas indispensable; il suffit que l'objet de la mise en demeure soit déterminable sans discussion, par exemple avec une désignation précise des loyers restés en souffrance. Le locataire doit pouvoir reconnaître que le bailleur possède contre lui une créance exigible encore impayée (arrêt du Tribunal fédéral 4A_134/2011 du 23 mai 2011 consid. et les références citées; arrêt du Tribunal fédéral 4C.123/2000 du 14 juin 2000, consid. 3b, CdB 2000 p. 109; Lachat, Le bail à loyer, Lausanne 2008, p. 666; Burkhalter/ Martinez-Favre, Commentaire SVIT du droit du bail, Lausanne 2011, p. 123; Lachat, Commentaire romand CO I, 2003, Helding, Bâle, art. 257d CO N 4; Wessner, in Droit du bail à loyer, 2010, n° 17 ad art. 257d CO). Au besoin, il précisera de manière détaillée les loyers en souffrance (Bohnet/Montini, Droit du bail à loyer, p. 229). Si l'une des conditions d'application de l'art. 257d CO n'est pas réalisée, le congé est inefficace (nul) (Lachat, le bail à loyer, déjà cité, p. 670; Bohnet/Montini, op. cit., p. 230). Le juge doit constater d'office l'inefficacité du congé (Lachat, le bail à loyer, déjà cité, p. 729).</w:t>
      </w:r>
    </w:p>
    <w:p>
      <w:r>
        <w:rPr>
          <w:b/>
        </w:rPr>
        <w:t>E. 3.4</w:t>
      </w:r>
    </w:p>
    <w:p>
      <w:r>
        <w:t>En l'espèce, les conditions d'application de l'art. 257 CPC ne sont pas réunies. En effet, le loyer a été fixé par avis de majoration du 10 août 2006 à 235 fr. par mois sans indiquer si la TVA, due depuis 2001, qui est une charge accessoire du loyer, était incluse ou non dans ce montant. La sommation, quant à elle, indique un arriéré de 253 fr. 80 relative au mois de mai 2013 mais sans spécifier ce que ce montant représente. Le recourant indique que la différence de 18 fr. 80 correspond à la TVA de 8% due sur ce loyer. Il précise que le locataire aurait versé le loyer et la TVA régulièrement depuis 2001. Or il n'apparaît, sur base des pièces produites, ni que l'augmentation du loyer suite à l'augmentation à 8% de la TVA ait été notifiée au locataire, ni (faute de bordereau et de relevés de comptes) que le locataire se serait acquitté du loyer TVA incluse depuis 2001. La situation n'est dès lors claire ni en faits, vu l'impossibilité de savoir ce que représente précisément le montant réclamé, ni en droit sur la question de savoir si l'avis de majoration de 2006 incluait la TVA ou si la notification faite en 2001 par pli simple suffisait à considérer que celle-ci était due en plus, et si l'augmentation de la TVA à 8% pouvait être incluse d'office dans le bulletin de versement sans autre formalisme. La réponse à ces questions déterminerait si la sommation adressée par la recourante satisfaisait au non les conditions de clarté et de précisison exigées pour que la résiliation fondée sur l'art 257d al.2 CO soit efficace ou non. C'est donc à bon droit que le Tribunal a retenu que la situation juridique n'était pas claire et déclaré la requête en protection pour cas clair irrecevable. Le recours sera donc rejeté et le jugement confirmé.</w:t>
      </w:r>
    </w:p>
    <w:p>
      <w:r>
        <w:rPr>
          <w:b/>
        </w:rPr>
        <w:t>E. 4</w:t>
      </w:r>
    </w:p>
    <w:p>
      <w:r>
        <w:t>La procédure est gratuite, de sorte qu'il n'est pas perçu de frais ni alloué de dépens (art. 22 al. 1 LaCC), étant rappelé que l'art. 116 al. 1 CPC autorise les cantons à prévoir des dispenses de frais dans d'autres litiges que ceux visés à l'art. 114 CPC. * * * * * PAR CES MOTIFS, La Chambre des baux et loyers : A la forme : Déclare recevable le recours interjeté le 31 mars 2014 par A______ contre le jugement JTBL/274/2014 rendu le 17 mars 2014 par le Tribunal des baux et loyers dans la cause C/456/2014-8-SE. Au fond : Le rejette.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