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C/4482/2017 vom 24. November 2020</w:t>
      </w:r>
    </w:p>
    <w:p>
      <w:r>
        <w:t>GE Cour de justice, 2020-11-24, FR</w:t>
      </w:r>
    </w:p>
    <w:p>
      <w:r>
        <w:rPr>
          <w:b/>
        </w:rPr>
        <w:t xml:space="preserve">Quelle: </w:t>
      </w:r>
      <w:r>
        <w:t>https://mcp.opencaselaw.ch/entscheid/ge_gerichte_C_4482_2017</w:t>
      </w:r>
    </w:p>
    <w:p>
      <w:r>
        <w:t>FR: GE_GERICHTE C/4482/2017 du 24 novembre 2020</w:t>
      </w:r>
    </w:p>
    <w:p>
      <w:r>
        <w:t>IT: GE_GERICHTE C/4482/2017 del 24 novembre 2020</w:t>
      </w:r>
    </w:p>
    <w:p>
      <w:pPr>
        <w:pStyle w:val="Heading2"/>
      </w:pPr>
      <w:r>
        <w:t>Erwägungen</w:t>
      </w:r>
    </w:p>
    <w:p>
      <w:r>
        <w:rPr>
          <w:b/>
        </w:rPr>
        <w:t>E. 10</w:t>
      </w:r>
    </w:p>
    <w:p>
      <w:r>
        <w:t>7. A Genève, il n'est pas alloué de dépens ni d'indemnité pour la représentation en justice dans les causes soumises à la juridiction des prud'hommes (cf. art. 22 al. 2 LaCC).</w:t>
      </w:r>
    </w:p>
    <w:p>
      <w:r>
        <w:rPr>
          <w:b/>
        </w:rPr>
        <w:t>E. 10.6</w:t>
      </w:r>
    </w:p>
    <w:p>
      <w:r>
        <w:t>S'agissant de la répartition des frais judiciaires en appel, il n'y a à prendre en considération que les prétentions encore litigieuses en appel (cf. Ruegg/Ruegg, in : Spühler/Tenchio) Infanger (éd), Schweizerische Zivilprozessordnung, Basler Kommentar, 3èm éd., 2017, N. 5 ad art. 106 CPC).</w:t>
      </w:r>
    </w:p>
    <w:p>
      <w:r>
        <w:rPr>
          <w:b/>
        </w:rPr>
        <w:t>E. 10.6.1</w:t>
      </w:r>
    </w:p>
    <w:p>
      <w:r>
        <w:t>En l'espèce, bien que matériellement seules deux conclusions étaient encore litigieuses (véhicule de fonction, 14 ème salaire), formellement, l'appelante avait conclu, en appel, à l'annulation du jugement et au déboutement de l'intimé et de l'intervenante de toutes leurs conclusions.</w:t>
      </w:r>
    </w:p>
    <w:p>
      <w:r>
        <w:rPr>
          <w:b/>
        </w:rPr>
        <w:t>E. 11</w:t>
      </w:r>
    </w:p>
    <w:p>
      <w:r>
        <w:t>La Cour laisse le soin aux parties d'opérer, s'agissant des prétentions réciproques admises en justice, la compensation à due concurrence. Il convient toutefois que ce soit l'appelante qui commence l'exécution de l'arrêt et opère les déductions sociales sur le montant de 43'255 fr. bruts, puis règle, par déduction du montant net, la somme de 5'907 fr. 40 à l'intervenante, avant, dans un troisième temps, de déduire, du solde, le prix de rachat du véhicule arrêté à présent à 18'474 fr. * * * * * PAR CES MOTIFS, La Chambre des prud'hommes, groupe 3 : A la forme : Déclare recevable l'appel interjeté le 13 mars 2020 par A______ SA contre le jugement JTPH/50/2020 rendu le 11 février 2020 par le Tribunal des prud'hommes dans la cause C/4482/2017-3. Au fond : Annule le chiffre 7 du dispositif du jugement entrepris et, statuant à nouveau, condamne B______ à verser à A______ SA la somme nette de 18'474 fr., avec intérêts à 5% l'an à compter du 15 novembre 2016. Confirme le jugement entrepris pour le surplus; Déboute les parties de toutes autres conclusions. Sur les frais : Sur les frais de première instance : Confirme le montant des frais arrêtés en première instance, à savoir 1'600 fr. (ch. 9 du jugement) (deux mille cinq cent francs); Annule le ch. 10 du jugement et, statuant à nouveau, met les frais à la charge de A______ SA à hauteur de 1'000 fr. et à la charge de B______ à hauteur de 600 fr. Les compense partiellement avec l'avance de frais de 500 fr. effectuée par B______ qui reste acquise à l'Etat de Genève ; Annule le ch. 12 du jugement et, statuant à nouveau, condamne A______ SA à verser la somme de 1'000 fr. aux Services financiers du pouvoir judiciaire de l'Etat de Genève, et B______ à verser aux mêmes Services financiers le solde encore dû, à savoir 100 fr. Sur les frais d'appel : Arrête les frais d'appel à 1'600 fr. et les met à la charge A______ SA à hauteur de 1'000 fr., et à la charge de B______ à hauteur de Fr. 600 fr.; Les compense partiellement avec l'avance de 500 fr. versée par A______ SA qui reste acquise à l'Etat de Genève ; Condamne B______ à payer aux Services financiers pouvoir judiciaire de l'Etat de Genève le montant de Fr. 100.- et à rembourser à A______ SA le montant de 500 fr. Dit qu'il n'est pas alloué de dépens ni d'indemnité pour la représentation en justice. Siégeant : Monsieur Werner GLOOR, président, Monsieur Claudio PANNO, juge employeur; Madame Agnès MINDER-JAEGER, juge salariée ;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