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C/4475/2021 vom 8. November 2023</w:t>
      </w:r>
    </w:p>
    <w:p>
      <w:r>
        <w:t>GE Cour de justice, 2023-11-08, FR</w:t>
      </w:r>
    </w:p>
    <w:p>
      <w:r>
        <w:rPr>
          <w:b/>
        </w:rPr>
        <w:t xml:space="preserve">Quelle: </w:t>
      </w:r>
      <w:r>
        <w:t>https://mcp.opencaselaw.ch/entscheid/ge_gerichte_C_4475_2021</w:t>
      </w:r>
    </w:p>
    <w:p>
      <w:r>
        <w:t>FR: GE_GERICHTE C/4475/2021 du 8 novembre 2023</w:t>
      </w:r>
    </w:p>
    <w:p>
      <w:r>
        <w:t>IT: GE_GERICHTE C/4475/2021 del 8 novembre 2023</w:t>
      </w:r>
    </w:p>
    <w:p>
      <w:pPr>
        <w:pStyle w:val="Heading2"/>
      </w:pPr>
      <w:r>
        <w:t>Regeste</w:t>
      </w:r>
    </w:p>
    <w:p>
      <w:r>
        <w:t>CO.321c; OLT 1.13; CO.322d</w:t>
      </w:r>
    </w:p>
    <w:p>
      <w:pPr>
        <w:pStyle w:val="Heading2"/>
      </w:pPr>
      <w:r>
        <w:t>Erwägungen</w:t>
      </w:r>
    </w:p>
    <w:p>
      <w:r>
        <w:rPr>
          <w:b/>
        </w:rPr>
        <w:t>E. 2</w:t>
      </w:r>
    </w:p>
    <w:p>
      <w:r>
        <w:t>Les parties ne contestent à juste titre ni la compétence des tribunaux genevois (art. 19 ch. 1 CL; art. 1 al. 1 let. a LTPH) ni l'application du droit suisse (art. 121 al. 1 LDIP) - et plus spécifiquement de la Convention collective nationale de travail sur l'hôtellerie et la restauration (CCNT; art. 357 CO; art. 1 LECCT) - à la présente cause.</w:t>
      </w:r>
    </w:p>
    <w:p>
      <w:r>
        <w:rPr>
          <w:b/>
        </w:rPr>
        <w:t>E. 3</w:t>
      </w:r>
    </w:p>
    <w:p>
      <w:r>
        <w:t>Préalablement, l'appelant sollicite, à nouveau en appel, la production par l'intimée de ses décomptes d'heures de travail pour la période allant de 2012 à la fin de ses rapports de travail.</w:t>
      </w:r>
    </w:p>
    <w:p>
      <w:r>
        <w:rPr>
          <w:b/>
        </w:rPr>
        <w:t>E. 3.1</w:t>
      </w:r>
    </w:p>
    <w:p>
      <w:r>
        <w:t>Le Tribunal a renoncé à ordonner la production requise, estimant qu'il existait suffisamment de pièces dans le dossier démontrant le nombre d'heures réalisées par l'appelant et qu'une telle production ne ferait que retarder inutilement l'issue de la procédure.</w:t>
      </w:r>
    </w:p>
    <w:p>
      <w:r>
        <w:rPr>
          <w:b/>
        </w:rPr>
        <w:t>E. 3.2</w:t>
      </w:r>
    </w:p>
    <w:p>
      <w:r>
        <w:t>L'appelant fait valoir qu'il est, selon lui, établi qu'il a effectué de nombreuses heures supplémentaires au cours de ses années d'emploi auprès de l'intimée et qu'il est essentiel qu'il puisse avoir accès aux documents sollicités, afin de prouver le nombre d'heures supplémentaires qu'il a effectuées depuis 2012. Il considère qu'un refus reviendrait à le priver de son droit à être rémunéré pour lesdites heures supplémentaires. L'intimée relève avoir fourni l'ensemble des feuilles "navette" depuis 2012 et qu'elle ne dispose d'aucun autre document susceptible de prouver les prétendues heures supplémentaires de l'appelant.</w:t>
      </w:r>
    </w:p>
    <w:p>
      <w:r>
        <w:rPr>
          <w:b/>
        </w:rPr>
        <w:t>E. 3.3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3.4</w:t>
      </w:r>
    </w:p>
    <w:p>
      <w:r>
        <w:t>In casu , tant selon l'appelant que le témoin L______, la notation des heures supplémentaires jusqu'à l'introduction de la timbreuse se faisait au jour le jour par le responsable hiérarchique, qui les introduisait dans les feuilles "navettes" au moyen du logiciel alors en place. L'intimée a produit l'ensemble des feuilles "navettes" de son ancien employé pour la période litigieuse. Elle allègue ne disposer d'aucun autre document y relatif. Or, l'appelant n'indique pas quels documents autres que les feuilles "navettes" auraient été établis par l'intimée et pourraient être produits par cette dernière. De plus, au vu des considérations qui suivent, la Cour considère que l'appelant n'est pas parvenu à ébranler la force probante des feuilles "navette" produites par l'intimée, de sorte qu'elle s'estime suffisamment renseignée pour statuer. Partant, il ne sera pas donné une suite favorable à la conclusion préalable de l'appelant.</w:t>
      </w:r>
    </w:p>
    <w:p>
      <w:r>
        <w:rPr>
          <w:b/>
        </w:rPr>
        <w:t>E. 4</w:t>
      </w:r>
    </w:p>
    <w:p>
      <w:r>
        <w:t>Ce dernier réclame le versement d'un montant brut de 37'457 fr. 31 avec intérêts à 5% dès le 1 er juillet 2020 à titre d'heures supplémentaires effectuées entre 2013 et juin 2018 (soit jusqu'à l'introduction de la timbreuse).</w:t>
      </w:r>
    </w:p>
    <w:p>
      <w:r>
        <w:rPr>
          <w:b/>
        </w:rPr>
        <w:t>E. 4.1</w:t>
      </w:r>
    </w:p>
    <w:p>
      <w:r>
        <w:t>Le Tribunal a retenu que, bien que A______ ne réclamait pas de rémunération pour les heures enregistrées après la mise en place de timbreuse, soit à partir du 1 er juillet 2018, le décompte manuscrit qu'il avait établi couvrait la période allant de décembre 2016 à mars 2019. Ledit décompte ne faisait état d'aucune pause - contrairement aux feuilles "navettes", toutes signées par l'ancien employé -, ce qui apparaissait fortement douteux compte tenu de la durée de la journée de travail, oscillant entre 9 et 12 heures par jour. Les congés et les vacances indiqués dans ce décompte ne concordaient pas non plus avec les feuilles "navettes". Ces dernières indiquaient que des heures supplémentaires avaient été compensées par des congés. Il ressortait de la procédure qu'avant l'installation de la timbreuse en juillet 2018, les responsables de département reportaient sur le logiciel y relatif les horaires planifiés des collaborateurs et les modifiaient en fonction des horaires réellement effectués. Ensuite, tous les mois, le collaborateur recevait une feuille "navette" et devait contrôler les heures recensées. Si des erreurs étaient constatées, le collaborateur était invité à les signaler et les corrections étaient apportées le mois suivant. Le collaborateur signait ainsi tous les mois une feuille "navette". Les contradictions entre les demandes de modification de l'employé sur les feuilles "navettes" et les heures recensées sur son décompte personnel étaient aussi nombreuses que difficiles à expliquer. Notamment, en janvier 2017, le demandeur avait, sur la feuille "navette", fait rectifier son horaire du 26 janvier, afin qu'il soit mentionné qu'il avait travaillé de 18h00 à minuit, alors que son relevé personnel indiquait qu'il avait travaillé de 6h30 à 15h00; le 28 février 2017, la feuille "navette" indiquait un horaire de 14h00 à 23h00, modifié à 6h00-12h00 et 18h00-minuit, alors que son relevé personnel indiquait 6h30 à 15h30; le 3 juin 2017, la feuille "navette" faisait état d'un horaire de 6h00 à 10h12, modifié à 6h00-15h00, alors que son relevé personnel indiquait 8h00 à 12h00. Le calcul des heures supplémentaires présenté par l'ancien employé était lui aussi peu clair, puisqu'il réclamait le paiement de 901,76 heures supplémentaire effectuées depuis 2016 (1'034 heures effectuées - 132,24 heures payées à l'issue de son licenciement), auxquelles il ajoutait 203,75 heures supplémentaires effectuées entre 2013 et 2016, pour lesquelles il ne détaillait pas son calcul et n'avait produit aucun relevé correspondant. Enfin, le courrier de l'IPE du 14 novembre 2019 ne mentionnait pas spécifiquement le nom de A______. Les premiers juges ont ainsi estimé que ce dernier n'avait pas apporté la preuve de la réalisation d'heures supplémentaires, dès lors qu'il s'était borné à produire un décompte illisible qu'il n'avait jamais présenté à son employeuse avant l'introduction de la présente procédure, qu'il résultait du dossier qu'il avait signé les feuilles "navettes" et qu'il avait parfois demandé des corrections, qui avaient été prises en compte par l'employeuse.</w:t>
      </w:r>
    </w:p>
    <w:p>
      <w:r>
        <w:rPr>
          <w:b/>
        </w:rPr>
        <w:t>E. 4.2</w:t>
      </w:r>
    </w:p>
    <w:p>
      <w:r>
        <w:t>L'appelant fait grief au Tribunal d'avoir constaté les faits de manière inexacte, d'avoir mal apprécié les témoignages et d'avoir violé l'art. 8 CC, ainsi que les dispositions de la CCNT relatives aux heures supplémentaires. Il expose que sa signature des feuilles "navettes" ne confirmait aucunement leur véracité ou exactitude, dans la mesure où il avait renoncé à y noter les horaires réellement effectués - dès lors que l'intimée refusait d'en tenir compte -, qu'il avait commencé à établir son propre relevé d'heures, car le système mis en place par l'intimée (qui reposait sur les épaules d'un cadre hiérarchique, qui avait tout intérêt à ce que son service soit performant et accomplisse le plus de travail possible pour un moindre coût afin de s'attirer les faveurs de son employeuse) n'était ni objectif ni fiable, que, dans ce contexte, il n'apparaissait pas insolite que les employés qui effectuaient de nombreuses heures supplémentaires aient subi des pressions pour voir leurs heures de travail effectives réduites, que le choix de signer les feuilles "navettes" n'en était pas réellement un, mais devait être assimilé à une condition implicite à la conservation de son emploi et que les corrections effectivement apportées auxdites feuilles avaient été exceptionnelles. La vraisemblance des heures supplémentaires qu'il alléguait découlait également du fait que celles-ci avaient considérablement augmenté depuis l'installation de la timbreuse, laquelle s'était révélée être un moyen de preuve de l'accomplissement d'un nombre d'heures supplémentaires colossal et usuel. Il relève également que l'appelante n'a apporté aucune preuve de la rémunération ou de la compensation du temps qu'il passait à consulter ses emails professionnels avant le début de son service et qu'il ne prenait presque jamais de pause, raison notamment pour laquelle l'IPE avait dû intervenir auprès de l'intimée. Ainsi, si le décompte qu'il avait établi différait grandement des feuilles "navettes", il correspondait néanmoins à la réalité des heures qu'il avait effectuées. S'agissant des témoignages recueillis par le Tribunal, il soutient que la déclaration du témoin L______, selon laquelle certains collègues avaient vu leurs heures supplémentaires être rémunérées, signifiait que la pratique de la rémunération d'heures supplémentaires n'était pas commune à l'ensemble des employés et qu'elle relevait du privilège. Selon lui, cela ressortait également des déclarations des témoins I______ et J______, qui avaient fait état de leurs bonnes relations avec leur employeuse. Le fait que les demandes de corrections des feuilles "navettes" nécessitaient l'approbation de son supérieur revenait à octroyer à ce dernier un pouvoir arbitraire sur la prise en considération des heures supplémentaires et supposait une bonne entente avec lui. Selon l'appelant, la timbreuse avait été installée sur ordre de l'IPE, ce que le témoin I______ avait confirmé, en déclarant que la mise en place de celle-ci avait été accélérée par des plaintes formulées par des anciens employés. L'appelant fait valoir que le Tribunal a violé les règles sur la répartition du fardeau de la preuve en exigeant de lui une preuve stricte et en n'ayant pas tenu compte d'importants indices ressortant du dossier. Il soutient également qu'entre 2012 et la mise en place de la timbreuse, les heures supplémentaires qu'il avait effectuées n'avaient été ni rémunérées ni compensées, ses supérieurs hiérarchiques les ayant fait disparaître afin de maintenir une impression d'efficacité et de performance maximale auprès de la direction. Le fait que les heures supplémentaires effectuées après l'installation de la timbreuse aient été rémunérées prouvait qu'il n'avait aucun contrôle sur lesdites heures avant cette installation et qu'il en effectuait sans contrepartie. Il allègue avoir attiré l'attention de ses supérieurs sur cette problématique, en vain. Le fait d'avoir dû signer les feuilles "navettes" sous la contrainte de voir son efficacité remise en question, respectivement d'être licencié, ne pouvait être considéré comme une renonciation au paiement de ses heures supplémentaires.</w:t>
      </w:r>
    </w:p>
    <w:p>
      <w:r>
        <w:rPr>
          <w:b/>
        </w:rPr>
        <w:t>E. 4.3</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Selon la CCNT, les heures supplémentaires sont des heures de travail faites en plus de la durée moyenne de la semaine de travail convenue. Ces dernières doivent être compensées, dans un délai convenable, par du temps libre de même durée ou rémunérées (art. 15 al. 4 CCNT). Elles doivent impérativement être payées à 125% du salaire brut si l'entreprise n'enregistre pas la durée du travail conformément à l'article 21 ou qu'elle ne communique pas chaque mois par écrit au collaborateur son solde d'heures supplémentaires ou encore que le paiement des heures supplémentaires a lieu après le dernier versement de salaire conformément à l'art. 14 (art. 15 al. 6 CCNT).</w:t>
      </w:r>
    </w:p>
    <w:p>
      <w:r>
        <w:rPr>
          <w:b/>
        </w:rPr>
        <w:t>E. 4.4</w:t>
      </w:r>
    </w:p>
    <w:p>
      <w:r>
        <w:t>Conformément à l'art. 8 du Code civil suisse du 10 décembre 1907 (CC; RS 210), il appartient au travailleur de prouver qu'il a accompli des heures supplémentaires et, en plus, que celles-ci ont été ordonnées par l'employeur ou étaient nécessaires à la sauvegarde des intérêts légitimes de ce dernier (cf. art. 321c al. 1 CO; ATF 129 III 171 consid. 2.4).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4A_138/2023 du 12 juin 2023 consid. 4.2 et les réf. cit.).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Wyler/Heinzer, Droit du travail, 2019, p. 143).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(ATF 129 III 171 consid. 2.2 et 2.3; arrêt du Tribunal fédéral 4A_138/2023 du 12 juin 2023 consid. 4.3 et les réf. cit.). La CCNT institue un régime particulier quant au fardeau de la preuve de l'exécution d'heures supplémentaires. L'employeur est responsable de l'enregistrement de la durée du temps de travail effectué; cet enregistrement doit être signé au moins une fois par mois par le collaborateur (art. 21 al. 2 CCNT). L'employeur tient un registre des heures de travail et des jours de repos effectifs (art. 21 al. 3 CCNT). Si cette obligation n'est pas respectée, le contrôle de la durée du temps de travail tenu par le collaborateur sera admis comme moyen de preuve en cas de litige (art. 21 al. 4 CCNT). Il ne s'agit pas d'un renversement du fardeau de la preuve; toutefois, le juge pourra accorder une pleine valeur probante au décompte personnel de l'employé (arrêt du Tribunal fédéral 4A_408/2016 du 3 juillet 2017 consid. 4).</w:t>
      </w:r>
    </w:p>
    <w:p>
      <w:r>
        <w:rPr>
          <w:b/>
        </w:rPr>
        <w:t>E. 4.5</w:t>
      </w:r>
    </w:p>
    <w:p>
      <w:r>
        <w:t>En l'espèce, les parties s'accordent à dire qu'avant l'installation de la timbreuse en juillet 2018, le responsable hiérarchique de l'appelant devait reporter sur le logiciel y relatif les horaires planifiés du collaborateur, qu'il devait les modifier en fonction des horaires réellement réalisés, que l'appelant recevait une feuille "navette" chaque mois - qui comportait, notamment, les horaires comptabilisés par le supérieur hiérarchique, ainsi que les heures supplémentaires dues, compensées et restant à compenser -, qu'il devait contrôler les heures recensées et qu'il était invité à signaler les éventuelles erreurs constatées et à en demander les corrections. L'intimée a produit l'ensemble des feuilles "navettes" de l'appelant de 2012 jusqu'à 2019. Certains mois, plusieurs feuilles avaient été établies pour tenir compte des corrections requises. L'appelant avait signé une feuille "navette" tous les mois. Les modifications demandées étaient apportées le mois suivant. Remettant en cause l'exactitude et la force probante de ces feuilles "navettes", l'appelant a produit son propre décompte manuscrit de ses horaires journaliers entre décembre 2016 et mars 2019, dont il n'est pas contesté qu'il n'a jamais été remis à son ancienne employeuse. Comme l'a, à raison, relevé le Tribunal, ledit décompte manuscrit ne tient compte d'aucune pause (contrairement aux feuilles "navettes"), ce qui apparaît peu vraisemblable, compte tenu du fait que les journées de travail de l'ancien employé oscillaient entre 9 et 12 heures, que, dans sa demande, il a allégué qu'il bénéficiait généralement d'une pause de trente minutes à midi et qu'il ne faisait pas partie des employés pour lesquels des manquements avaient été relevés, cités dans le courrier de l'IPE du 14 novembre 2019. Ce décompte comporte également des contradictions avec les modifications que l'ancien employé avait lui-même demandées sur les feuilles "navettes" en 2017, incohérences sur lesquelles il n'a fourni aucune explication. S'agissant de ses critiques à l'égard des feuilles "navettes", l'appelant allègue qu'il avait fini par renoncer à demander des modifications, dans la mesure où ses demandes étaient refusées. Ceci n'est toutefois confirmé ni par les feuilles "navettes", sur lesquelles apparaissent les corrections sollicitées, ni par les témoignages recueillis. L'appelant remet également en cause le système de comptabilisation des heures, qui n'était, selon lui, ni objectif ni fiable, puisque son supérieur hiérarchique avait tout intérêt à ce que les collaborateurs soient performants à moindre coût et que la prise en considération des heures supplémentaires dépendait de la bonne entente entre l'employé et son responsable. Rien ne permet toutefois de retenir que le responsable n'aurait délibérément pas tenu compte d'heures supplémentaires, dans une optique de performance. De même, l'on ne saurait déduire des déclarations du témoin J______ (selon lesquelles ses relations étaient bonnes avec son employeuse) et du témoin L______ (selon lesquelles les heures supplémentaires de certains de ses collègues avaient été rémunérées) que le système reposait sur de la complaisance ou relevait du privilège ou encore que la prise en compte des heures supplémentaires des collaborateurs dépendait des relations entretenues avec la hiérarchie. L'appelant ne saurait non plus être suivi lorsqu'il allègue que les employés subissaient des pressions pour voir leurs heures supplémentaires réduites et pour signer les feuilles "navettes", voire faisaient l'objet de menaces de licenciement. Aucun élément n'atteste d'une politique de l'intimée tendant à remettre en cause les heures supplémentaires effectuées par ses employés. De plus, les témoins J______ et I______ ont précisément déclaré n'avoir subi aucune pression pour signer les feuilles "navettes", le second ayant ajouté n'avoir jamais eu l'impression qu'il risquait un licenciement ou des représailles en cas de refus de signer. De surcroît, il ne ressort pas de la procédure que l'appelant se serait plaint de la question de ses heures supplémentaires auprès de collègues, de sa hiérarchie ou de la gestionnaire des salaires. L'appelant considère, par ailleurs, que l'augmentation de ses heures supplémentaires depuis l'installation de la timbreuse (intervenue, selon lui, à la demande de l'IPE) en juillet 2018 est révélateur de l'activité réelle qu'il avait déployée tout au long de son activité pour l'intimée. Contrairement à ce qu'il allègue, il ne ressort ni des déclarations recueillies ni des pièces produites (en particulier du courrier de l'IPE sur lequel il se fonde et qui date de 2019) que l'IPE aurait œuvré en faveur d'une timbreuse. Sur cette question, seul le témoin I______ a indiqué que les plaintes d'employés s'agissant du calcul des heures avaient accéléré la mise en place du nouveau système. L'appelant ne saurait toutefois tirer argument du fait qu'un système de comptabilisation des heures effectuées, plus simple et plus fiable, avait été mis en place par l'intimée. S'agissant du nombre d'heures supplémentaires effectuées dès juillet 2018, il ressort des feuilles "navettes" que celles-ci ont considérablement augmenté (non pas dès juillet 2018, comme le prétend l'appelant), mais dès octobre 2018, date qui coïncide avec l'officialisation du projet d'un nouveau restaurant, ouvert en mars 2019, et avec la prise de ses nouvelles responsabilités pour le service du petit-déjeuner et du déjeuner au début de l'année 2019. Enfin, en ce qui concerne la compensation ou rémunération du temps qu'il passait à consulter ses emails professionnels avant le début de son service, le témoin L______ a déclaré que cette activité faisait partie du temps effectif de la journée, déclaration qui n'est ébranlée par aucun autre élément du dossier. Ainsi, il ressort de ce qui précède que c'est à raison que les premiers juges ont considéré que l'appelant n'était pas parvenu à remettre en cause la force probante des feuilles "navettes" et qu'il avait, par conséquent, échoué à apporter la preuve de la réalisation des heures supplémentaires non compensées ou rémunérées qu'il alléguait avoir effectuées.</w:t>
      </w:r>
    </w:p>
    <w:p>
      <w:r>
        <w:rPr>
          <w:b/>
        </w:rPr>
        <w:t>E. 5</w:t>
      </w:r>
    </w:p>
    <w:p>
      <w:r>
        <w:t>L'appelant conclut au paiement de la somme brute de 6'324 fr. 78 avec intérêts à 5% dès le 1 er juillet 2020 à titre d'heures de change, correspondant au temps qu'il a consacré à se changer avant le début de sa journée et à la fin de celle-ci pour endosser et retirer la tenue de travail exigée par l'intimée (soit 10 minutes par jour travaillé durant les cinq dernières années d'activité).</w:t>
      </w:r>
    </w:p>
    <w:p>
      <w:r>
        <w:rPr>
          <w:b/>
        </w:rPr>
        <w:t>E. 5.1</w:t>
      </w:r>
    </w:p>
    <w:p>
      <w:r>
        <w:t>Le Tribunal a retenu qu'après l'installation de la timbreuse, les employés de l'intimée avaient été expressément informés, par avenant du 18 juin 2018, que le temps passé dans les vestiaires n'était pas inclus dans le temps de travail. Lors de son audition, l'appelant avait admis qu'il pouvait se rendre au travail dans son uniforme. Il n'avait ainsi pas besoin de se changer dans les vestiaires. De plus, dès le mois de mai 2016, il devait porter un costume sombre qu'il pouvait revêtir à son domicile et dont les frais de nettoyage étaient pris en charge par l'intimée. L'appelant n'avait, par ailleurs, pas apporté la preuve de l'existence d'un règlement prévoyant le port obligatoire d'un uniforme, de sorte que les premiers juges ont retenu qu'il n'avait aucune obligation d'en porter un et qu'il pouvait se rendre sur son lieu de travail en habits de ville.</w:t>
      </w:r>
    </w:p>
    <w:p>
      <w:r>
        <w:rPr>
          <w:b/>
        </w:rPr>
        <w:t>E. 5.2</w:t>
      </w:r>
    </w:p>
    <w:p>
      <w:r>
        <w:t>L'appelant invoque le fait qu'il était dans l'obligation de porter une tenue de travail imposée par l'intimée (soit un costume sombre et une cravate), qu'il devait garder propre en tout temps et dont son ancienne employeuse prenait en charge les frais d'entretien. Il se réfère aux déclarations du témoin J______, selon lesquelles ce dernier avait toujours timbré le matin après s'être changé au vestiaire, mais le soir après s'être changé. Il considère que le port de cette tenue était une condition sine qua non du service auprès de l'intimée, qu'elle devait être enfilée avant le début des heures de travail et que la prise en charge du nettoyage par l'intimée tendait à prouver que le temps qu'il avait passé à se changer dans les vestiaires correspondait à du temps de travail devant être rémunéré.</w:t>
      </w:r>
    </w:p>
    <w:p>
      <w:r>
        <w:rPr>
          <w:b/>
        </w:rPr>
        <w:t>E. 5.3</w:t>
      </w:r>
    </w:p>
    <w:p>
      <w:r>
        <w:t>Selon l'art. 13 OLT 1, est réputé durée du travail au sens de la loi sur le travail le temps pendant lequel le travailleur doit se tenir à disposition de l'employeur; le temps qu'il consacre au trajet pour se rendre sur son lieu de travail et en revenir n'est pas réputé durée du travail. Selon le commentaire du SECO de l'OLT 1,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tels que l'enfilage d'un équipement de protection dans un but de protection de la santé et contre les accidents, enfilage d'une tenue de travail par-dessus les vêtements de ville ou d'une tenue de travail stérile ou encore passage dans un sas pour des raisons d'hygiène, etc. ( ad art. 13 al. 1 OLT 1, p. 113-1). L'art. 28 OLT 3 prévoit que l'employeur est tenu de se charger à intervalles réguliers du nettoyage des vêtements de travail fortement souillés par des matières nauséabondes ou par d'autres matières utilisées dans l'entreprise.</w:t>
      </w:r>
    </w:p>
    <w:p>
      <w:r>
        <w:rPr>
          <w:b/>
        </w:rPr>
        <w:t>E. 5.4</w:t>
      </w:r>
    </w:p>
    <w:p>
      <w:r>
        <w:t>En l'occurrence, l'appelant se limite à dire qu'il était tenu de respecter un code vestimentaire, que la tenue requise par sa fonction devait être enfilée avant le début de ses heures de travail et que les frais de nettoyage de ses vêtements de fonction étaient pris en charge par l'intimée, ce qui, selon lui, tend à établir qu'il lui était nécessaire de se changer dans les vestiaires de son ancienne employeuse et que le temps qu'il avait passé à ce faire devait être considéré comme du temps de travail. Ce faisant, l'appelant ne remet pas en cause les considérations des premiers juges, selon lesquelles, dans la mesure où il avait admis, lors de son audition, qu'avant le mois de mai 2016 il pouvait se rendre au travail dans son uniforme, il ne lui était pas nécessaire de se changer dans les vestiaires de l'intimée. A partir du mois de mai 2016, il avait été tenu de porter un costume sombre, qu'il pouvait également revêtir à son domicile. Contrairement à ce que l'appelant allègue, le fait que l'intimée ait pris en charge les frais de nettoyage de ses vêtements de fonction ne tend pas prouver qu'il était tenu de se changer dans les vestiaires professionnels. De même, les déclarations du témoin J______ relatives à sa manière propre de timbrer après son service ne sont pas de nature à établir une pratique généralisée et admise par l'intimée. Partant, c'est à raison que le Tribunal a débouté l'appelant de son chef de conclusion en paiement d'heures de change.</w:t>
      </w:r>
    </w:p>
    <w:p>
      <w:r>
        <w:rPr>
          <w:b/>
        </w:rPr>
        <w:t>E. 6</w:t>
      </w:r>
    </w:p>
    <w:p>
      <w:r>
        <w:t>L'appelant réclame le paiement de la somme brute de 440 fr. avec intérêts à 5% dès le 1 er juillet 2020 à titre de cadeaux.</w:t>
      </w:r>
    </w:p>
    <w:p>
      <w:r>
        <w:rPr>
          <w:b/>
        </w:rPr>
        <w:t>E. 6.1</w:t>
      </w:r>
    </w:p>
    <w:p>
      <w:r>
        <w:t>Le Tribunal a retenu que le contrat de travail de l'appelant ne prévoyait pas la distribution d'un cadeau d'une certaine valeur, mais que l'employeuse avait régulièrement offert à ses collaborateurs un cadeau et un déjeuner à l'hôtel à l'occasion de leur anniversaire pour les remercier du travail effectué pendant l'année écoulée, ce qui, selon les témoignages des employés, était conditionné à la présence du collaborateur à l'hôtel. L'ancien employé ayant été en incapacité de travailler à 100% du 23 mars 2019 au 19 juillet 2020, il n'avait pas pu prendre le déjeuner offert et ne s'était pas rendu à l'hôtel pour récupérer son cadeau, ce qu'il avait lui-même admis en audience. En outre, les employés entendus avaient tous affirmé ne pas avoir reçu de cadeaux en 2020 en raison du COVID. L'appelant n'avait ainsi pas droit aux cadeaux litigieux en 2019 et 2020 en raison de son absence de longue durée et de la pandémie du COVID.</w:t>
      </w:r>
    </w:p>
    <w:p>
      <w:r>
        <w:rPr>
          <w:b/>
        </w:rPr>
        <w:t>E. 6.2</w:t>
      </w:r>
    </w:p>
    <w:p>
      <w:r>
        <w:t>L'appelant considère qu'ayant bénéficié de ces cadeaux chaque année depuis son embauche, ils faisaient partie intégrante de son salaire. Il est, selon lui, choquant qu'il en ait été privé en raison de son absence, alors que les causes de sa maladie résultaient des agissements de l'intimée (qui l'avait poussé à bout en raison des nombreuses heures supplémentaires effectuées et non rémunérées/ compensées). De plus, il ne lui avait pas été possible de se rendre sur son lieu de travail compte tenu de son incapacité et il aurait été loisible à son ancienne employeuse de lui offrir une alternative, soit un cadeau d'une autre nature, pour l'encourager dans son processus de guérison.</w:t>
      </w:r>
    </w:p>
    <w:p>
      <w:r>
        <w:rPr>
          <w:b/>
        </w:rPr>
        <w:t>E. 6.3</w:t>
      </w:r>
    </w:p>
    <w:p>
      <w:r>
        <w:t>Le droit suisse ne contient aucune disposition qui traite spécifiquement du bonus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Selon l'art. 322d CO, si l'employeur accorde, en sus du salaire, une rétribution spéciale à certaines occasions, telles que Noël ou la fin de l'exercice annuel, le travailleur y a droit lorsqu'il en a été convenu ainsi (al. 1 CO); en cas d'extinction des rapports de travail avant l'occasion qui donne lieu à la rétribution spéciale, le travailleur n'a droit à une part proportionnelle de cette rétribution que s'il en a été convenu ainsi (al. 2).</w:t>
      </w:r>
    </w:p>
    <w:p>
      <w:r>
        <w:rPr>
          <w:b/>
        </w:rPr>
        <w:t>E. 6.4</w:t>
      </w:r>
    </w:p>
    <w:p>
      <w:r>
        <w:t>Dans plusieurs arrêts récents, le Tribunal fédéral a eu l'occasion de résumer l'ensemble de sa jurisprudence relative aux bonus (arrêts du Tribunal fédéral 4A_327/2019 du 1 er mai 2020 consid. 3.1; 4A_230/2019 du 20 septembre 2019 consid. 3 et les réf. cit.). Il en résulte qu'il faut distinguer les trois cas suivants : (1) le salaire variable, (2) la gratification à laquelle l'employé a droit et (3) la gratification à laquelle il n'a pas droit.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 ).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4A_327/2019 précité consid. 3.1.3.1).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l'employeur jouissant d'une certaine liberté dans la fixation de son montant au cas où les montants étaient variables (arrêt du Tribunal fédéral 4A_327/2019 précité ibidem ).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4A_327/2019 précité ibidem ).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w:t>
      </w:r>
    </w:p>
    <w:p>
      <w:r>
        <w:rPr>
          <w:b/>
        </w:rPr>
        <w:t>E. 6.5</w:t>
      </w:r>
    </w:p>
    <w:p>
      <w:r>
        <w:t>Dans les procès soumis à la maxime de disposition, le juge ne peut pas accorder plus ou autre chose que ce qui est demandé (art. 58 al. 1 CPC), de sorte que les parties sont tenues de prendre des conclusions claires, nettes et suffisamment déterminées (ATF 116 II 215 consid. 4a, in JT 1991 I 34 ). L'autonomie privée, qui est au cœur du droit des obligations, trouve son prolongement en procédure civile dans le principe de disposition. Il en découle principalement que le juge intervient seulement à l'initiative des parties et qu'il est lié par leurs conclusions (ATF 141 III 596 consid. 1.4.5) .</w:t>
      </w:r>
    </w:p>
    <w:p>
      <w:r>
        <w:rPr>
          <w:b/>
        </w:rPr>
        <w:t>E. 6.6</w:t>
      </w:r>
    </w:p>
    <w:p>
      <w:r>
        <w:t>In casu , il convient de retenir que les cadeaux dont bénéficiait l'appelant constituaient des gratifications, et non des éléments de son salaire, dès lors qu'ils n'avaient fait l'objet d'aucun accord entre les parties. La question de savoir s'ils correspondaient à des gratifications auxquelles il avait droit ou non peut, cependant, rester ouverte. En effet, la Cour étant liée par les conclusions de l'appelant, qui relèvent sur ce point de la maxime de disposition, elle ne saurait en tout état lui allouer directement la valeur en argent desdits cadeaux - lesquels consistaient en un cadeau d'anniversaire sous la forme d'un objet d'une valeur d'environ 20 fr. et d'un bon cadeau de 200 fr. à Noël, à l'exclusion de sommes d'argent -, ni lui octroyer les cadeaux qu'il aurait pu recevoir (tels qu'un crayon H______ remis lors du déjeuner d'anniversaire en 2019 et des bons cadeaux chez F______ pour Noël), qui n'est pas ce à quoi il a conclu. Le jugement entrepris sera donc confirmé sur ce point par substitution de motifs.</w:t>
      </w:r>
    </w:p>
    <w:p>
      <w:r>
        <w:rPr>
          <w:b/>
        </w:rPr>
        <w:t>E. 7</w:t>
      </w:r>
    </w:p>
    <w:p>
      <w:r>
        <w:t>L'appelant conclut, enfin, au paiement de la somme brute de 11'500 fr. avec intérêts à 5% dès le 1 er juillet 2020 à titre de dommages-intérêts résultant du fait que l'intimée lui avait versé une indemnité pour vacances non prises, ce qui aurait, selon lui, eu pour conséquence de reporter le versement de ses indemnités de chômage.</w:t>
      </w:r>
    </w:p>
    <w:p>
      <w:r>
        <w:rPr>
          <w:b/>
        </w:rPr>
        <w:t>E. 7.1</w:t>
      </w:r>
    </w:p>
    <w:p>
      <w:r>
        <w:t>Les premiers juges ont considéré que l'intimée n'avait commis aucune violation contractuelle en rémunérant l'employé pour les vacances non prises en nature, dans la mesure où elle n'avait fait qu'exécuter une obligation prévue par la CCNT et les dispositions légales. La condition du dommage faisait également défaut dès lors que la lettre de Pôle Emploi du 30 juillet 2020 faisait état d'une durée d'indemnité de 730 jours, sans mentionner de réduction. Le Tribunal a également relevé qu'il ne ressortait pas de ce courrier que le début du versement des indemnités avait été reporté ni que la cause de cet éventuel report résidait dans le versement par l'intimée de l'indemnité pour vacances non prises.</w:t>
      </w:r>
    </w:p>
    <w:p>
      <w:r>
        <w:rPr>
          <w:b/>
        </w:rPr>
        <w:t>E. 7.2</w:t>
      </w:r>
    </w:p>
    <w:p>
      <w:r>
        <w:t>L'appelant soutient que, dans la mesure où l'intimée ne lui avait pas " accordé ses prétentions " de vacances en nature et n'avait pas rempli ses " obligations d'employeur ", l'assurance-chômage l'avait pénalisé " durant deux mois et demi du versement de ses indemnités de chômage ", ce qui lui avait fait subir un dommage de 11'500 fr., tel que cela " ressort [ait] notamment des pièces produites par [lui-même] dans le cadre de la procédure devant le Tribunal des prud'hommes ".</w:t>
      </w:r>
    </w:p>
    <w:p>
      <w:r>
        <w:rPr>
          <w:b/>
        </w:rPr>
        <w:t>E. 7.3</w:t>
      </w:r>
    </w:p>
    <w:p>
      <w:r>
        <w:t>En vertu de l'art. 97 al. 1 CO, lorsque le créancier ne peut obtenir l'exécution de l'obligation ou ne peut l'obtenir qu'imparfaitement, le débiteur est tenu de réparer le dommage en résultant, à moins qu'il ne prouve qu'aucune faute ne lui est imputable. La réparation du dommage suppose la réalisation de quatre conditions cumulatives : l'inexécution de l'obligation contractuelle, une faute du débiteur, un dommage ainsi qu'un rapport de causalité (naturelle et adéquate) et la faute, qui est présumée (Thevenoz, CR-CO I, 2012, n. 3 ad art. 97 ss CO). Conformément aux règles générales de la responsabilité contractuelle et à l'art. 8 CC, il incombe au lésé d'apporter la preuve de la violation d'une norme légale ou contractuelle (arrêt 4A_168/2008 du 11 juin 2008 consid. 2.7 et les réf. cit.). L'art. 17 CCNT prévoit que le collaborateur a droit à 5 semaines de vacances par année (35 jours civils par année) (al. 1) et qu'à la fin des rapports de travail, les jours de vacances qui n'ont pas encore été pris doivent être indemnisés de 1/30ème du salaire mensuel brut (al. 5).</w:t>
      </w:r>
    </w:p>
    <w:p>
      <w:r>
        <w:rPr>
          <w:b/>
        </w:rPr>
        <w:t>E. 7.4</w:t>
      </w:r>
    </w:p>
    <w:p>
      <w:r>
        <w:t>En l'espèce, le raisonnement du Tribunal est exempt de toute critique. En effet, conformément à ses obligations légales et découlant de la CCNT, l'intimée a versé à l'appelant une indemnité pour vacances non prises à l'issue des rapports contractuels. L'ancien employé ne démontre ni même n'allègue qu'il aurait été empêché de prendre ses vacances par l'intimée. Comme retenu à juste titre par les premiers juges, l'appelant a ainsi échoué à établir une inexécution par l'intimée d'une de ses obligations contractuelles. De même, l'appelant allègue de manière lapidaire dans son appel que son prétendu dommage ressortirait des pièces produites devant le Tribunal. Il s'est toutefois fondé, en première instance, uniquement sur le courrier que lui a adressé Pôle Emploi le 30 juillet 2020, lequel ne fait pas mention de l'indemnité pour vacances non prises litigieuse ni de l'existence d'éventuelles pénalités. De plus, il n'a produit aucune autre pièce y relative, propre à établir le dommage qu'il allègue. C'est ainsi à raison que le Tribunal a considéré que les conditions posées par l'art. 97 al. 1 CO n'étaient pas remplies et que la prétention en dommages-intérêts réclamée par l'appelant n'était pas fondée.</w:t>
      </w:r>
    </w:p>
    <w:p>
      <w:r>
        <w:rPr>
          <w:b/>
        </w:rPr>
        <w:t>E. 8</w:t>
      </w:r>
    </w:p>
    <w:p>
      <w:r>
        <w:t>Au vu de ce qui précède, les chiffres 2 et 5 à 7 du dispositif du jugement entrepris seront confirmés.</w:t>
      </w:r>
    </w:p>
    <w:p>
      <w:r>
        <w:rPr>
          <w:b/>
        </w:rPr>
        <w:t>E. 9</w:t>
      </w:r>
    </w:p>
    <w:p>
      <w:r>
        <w:t>Les frais judiciaires de seconde instance seront arrêtés 300 fr. et mis à la charge de l'appelant, qui succombe en appel (art. 95 et 106 al. 1 CPC; art. 19 al. 3 let. c LaCC; art. 71 RTFMC). Ils sont entièrement couverts par l'avance de frais opérée par celui-ci, laquelle demeure intégralement acquise à l'Etat (art. 111 al. 1 CPC). Il n'est pas alloué de dépens dans les causes soumises à la juridiction des prud'hommes (art. 22 al. 2 LaCC). * * * * * PAR CES MOTIFS, La Chambre des prud'hommes, groupe 2 : A la forme : Déclare recevable l'appel interjeté le 14 novembre 2022 par A______ contre les chiffres 2 et 5 à 7 du dispositif du jugement JTPH/314/2022 rendu le 11 octobre 2022 par le Tribunal des prud'hommes dans la cause C/4475/2021-2. Au fond : Confirme les chiffres 2 et 5 à 7 du dispositif du jugement entrepris. Déboute les parties de toutes autres conclusions. Sur les frais : Arrête les frais judiciaires de l'appel principal à 300 fr., les met à la charge de A______ et dit qu'ils sont entièrement compensés avec l'avance de frais effectuée, laquelle demeure intégralement acquise à l'Etat de Genève. Dit qu'il n'est pas alloué de dépens. Siégeant : Madame Paola CAMPOMAGNANI, présidente; Madame Fiona MAC PHAIL, juge employeur; Monsieur Kasum VELII, juge salarié; Madame Fabia CURTI, greffière. La présidente : Paola CAMPOMAGNANI La greffière : Fabia CURTI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