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C/4362/2023 vom 11. März 2024</w:t>
      </w:r>
    </w:p>
    <w:p>
      <w:r>
        <w:t>GE Cour de justice, 2024-03-11, FR</w:t>
      </w:r>
    </w:p>
    <w:p>
      <w:r>
        <w:rPr>
          <w:b/>
        </w:rPr>
        <w:t xml:space="preserve">Quelle: </w:t>
      </w:r>
      <w:r>
        <w:t>https://mcp.opencaselaw.ch/entscheid/ge_gerichte_C_4362_2023</w:t>
      </w:r>
    </w:p>
    <w:p>
      <w:r>
        <w:t>FR: GE_GERICHTE C/4362/2023 du 11 mars 2024</w:t>
      </w:r>
    </w:p>
    <w:p>
      <w:r>
        <w:t>IT: GE_GERICHTE C/4362/2023 del 11 marzo 2024</w:t>
      </w:r>
    </w:p>
    <w:p>
      <w:pPr>
        <w:pStyle w:val="Heading2"/>
      </w:pPr>
      <w:r>
        <w:t>Regeste</w:t>
      </w:r>
    </w:p>
    <w:p>
      <w:r>
        <w:t>CPC.257</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En l'espèce, eu égard aux montants dont le paiement est requis, la valeur litigieuse est supérieure à 10'000 fr.,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L'appelante a allégué des faits nouveaux et produit des pièces nouvelles.</w:t>
      </w:r>
    </w:p>
    <w:p>
      <w:r>
        <w:rPr>
          <w:b/>
        </w:rPr>
        <w:t>E. 1.3.1</w:t>
      </w:r>
    </w:p>
    <w:p>
      <w:r>
        <w:t>Les faits et moyens de preuve nouveaux ne sont alors recevables qu'aux conditions de l'art. 317 al. 1 CPC. L'admissibilité des pseudo nova, soit les faits et moyens de preuve qui existaient déjà au début des délibérations de première instance, est largement limitée en appel: ils sont irrecevables lorsque le plaideur aurait déjà pu les introduire dans la procédure de première instance s'il avait été diligent (ATF 143 III 42 consid. 4.1; arrêt 4A_508/2016 du 16 juin 2017 consid. 4.1). Le plaideur qui fait valoir des pseudo nova devant l'instance d'appel doit exposer précisément les raisons pour lesquelles il ne les a pas invoqués en première instance (ATF 144 III 349 consid. 4.2.1 p. 351).</w:t>
      </w:r>
    </w:p>
    <w:p>
      <w:r>
        <w:rPr>
          <w:b/>
        </w:rPr>
        <w:t>E. 1.3.2</w:t>
      </w:r>
    </w:p>
    <w:p>
      <w:r>
        <w:t>En l'espèce, l'appelante a produit deux pièces nouvelles, à savoir un acte de mariage et une procuration. Ces pièces, qui comportent des faits antérieurs à la date à laquelle le Tribunal a gardé la cause à juger, sont irrecevables au vu des principes rappelés ci-dessus, l'appelante n'ayant pas expliqué pourquoi elle n'aurait pas eu la possibilité de les produire. L'appelante soutient cependant dans sa réplique que ces pièces comporteraient des faits implicites échappant à l'irrecevabilité desdits faits, ce qui sera examiné infra ( cf. consid. 2.2).</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soutient que la locataire commettrait un abus de droit en invoquant la nullité partielle du bail pour la première fois après l'introduction de la requête en évacuation. Se fondant sur des pièces nouvelles, elle soutient qu'elle aurait toujours agi avec le consentement de son mari, lequel a par ailleurs signé une procuration en sa faveur, ce qui n'avait pas été contesté devant le Tribunal.</w:t>
      </w:r>
    </w:p>
    <w:p>
      <w:r>
        <w:rPr>
          <w:b/>
        </w:rPr>
        <w:t>E. 2.1.1</w:t>
      </w:r>
    </w:p>
    <w:p>
      <w:r>
        <w:t>Aux termes de l'art. 257 al. 1 CPC,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(art. 257 al. 3 CPC).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4A_273/2012 du 30 octobre 2012 consid. 5.1.2, non publié in ATF 138 III 620 ). A cet égard, cela ne signifie pas qu'un cas clair d'un point de vue juridique doit toujours être nié dès qu'un exercice abusif du droit est invoqué. En effet, l'interdiction de l'abus de droit ne suppose pas une évaluation de toutes les circonstances, lorsque le comportement de la partie concernée constitue manifestement un abus, ce qui est notamment le cas lorsque celui-ci peut être classé dans l'un des groupes de cas reconnus par la jurisprudence et la doctrine (arrêts du Tribunal fédéral 4A_12/2023 du 31 mars 2023, consid. 3.2, 4A_25/2019 du 15 avril 2019, consid. 3; 4A_185/2017 du 15 juin 2017, consid. 5.4; 4A_2/2016 du 18 février 2016, consid. 2.1)</w:t>
      </w:r>
    </w:p>
    <w:p>
      <w:r>
        <w:rPr>
          <w:b/>
        </w:rPr>
        <w:t>E. 2.1.2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(arrêts du Tribunal fédéral 4A_592/2013 du 9 septembre 2013 consid. 5; 4A_299/2011 du 7 juin 2011 consid. 5).</w:t>
      </w:r>
    </w:p>
    <w:p>
      <w:r>
        <w:rPr>
          <w:b/>
        </w:rPr>
        <w:t>E. 2.1.3</w:t>
      </w:r>
    </w:p>
    <w:p>
      <w:r>
        <w:t>Lorsqu'un bail est conclu entre plusieurs bailleurs et un locataire, on parle de bail commun. Ces bailleurs conjoints sont nommés "cobailleurs". S'ils entendent agir en justice, les cobailleurs doivent le faire ensemble à tous les stades du procès, chaque fois que le droit de fond leur impose d'agir ou de défendre ensemble (Lachat, Le bail à loyer, 2019, 2.2.4, p. 93). Des cobailleurs doivent notamment agir ensemble pour demander l'expulsion de leur locataire commun (Lachat/Lachat, Procédure civile en matière de baux et loyers, 2019, n. 7.7 et note de bas de page 247, p. 91).</w:t>
      </w:r>
    </w:p>
    <w:p>
      <w:r>
        <w:rPr>
          <w:b/>
        </w:rPr>
        <w:t>E. 2.2</w:t>
      </w:r>
    </w:p>
    <w:p>
      <w:r>
        <w:t>En l'espèce, l'appelante invoque une constatation inexacte des faits quant au consentement de C______ à ses agissements, compte tenu du fait qu'elle était mariée avec le précité et que celui-ci lui avait donné une procuration lui permettant d'agir pour tout ce qui concernant la sous-location. Ce grief se fonde exclusivement sur des pièces nouvelles produites par l'appelante, dont il a été considéré qu'elles étaient irrecevables. L'appelante soutient cependant que ce consentement serait un fait implicite. Selon la jurisprudence, la qualité pour agir est en effet un fait implicite, soit un fait qui est contenu, sans aucun doute, dans un autre allégué expressément invoqué; le fardeau de l'allégation et le fardeau de la preuve de ce fait n'incombe à la partie demanderesse que lorsque sa partie adverse l'a contesté (arrêts du Tribunal fédéral 4A_342/2020 du 29 juin 2021 consid. 4.1.2 et les arrêts cités; 4A_404/2016 du 7 décembre 2016 consid. 2.2 et les références citées). Cela étant, le fait que les bailleurs étaient mariés et que C______ avait donné à son épouse une procuration ne concerne pas que la question de la qualité pour agir de l'appelante, mais fonde en l'espèce le droit de cette dernière de conclure seule le contrat de sous-bail, puis de le résilier pour défaut de paiement du loyer. Il s'agit ainsi de faits pertinents qu'il appartenait à l'appelante d'alléguer, même sans que l'intimée ne soulève cette question, et il appartenait au Tribunal de relever, en l'absence d'allégation à cet égard, que la situation n'était pas claire. En tout état de cause, la qualification de faits litigieux comme faits implicites et de savoir si l'appelante peut s'en prévaloir en appel seulement ne s'impose pas de manière évidente et sortirait donc, en l'espèce, au vu des circonstances, du cadre de l'examen auquel peut procéder le juge saisi d'une requête en cas clair. Pour le surplus, l'appelante ne conteste pas le jugement attaqué en tant qu'il a considéré que la situation n'était pas claire eu égard au fait que le nom de C______ n'apparaissait sur aucun acte en lien avec le contrat de sous-location alors qu'il était colocataire de l'appartement qui fait l'objet du sous-bail. Faute de grief sur ce point discutable sous l'angle du droit, le jugement attaqué sera dès lors confirmé à cet égard. Cette circonstance permettait à elle seule au Tribunal de déclarer irrecevable la requête formée par l'appelante, de sorte que point n'est besoin d'examiner si, au surplus, l'invocation de la nullité du loyer au motif qu'il n'avait pas été fixé au moyen d'une formule officielle constitue également un motif suffisant pour déclarer irrecevable la requête en évacuation.</w:t>
      </w:r>
    </w:p>
    <w:p>
      <w:r>
        <w:rPr>
          <w:b/>
        </w:rPr>
        <w:t>E. 3</w:t>
      </w:r>
    </w:p>
    <w:p>
      <w:r>
        <w:t>À teneur de l'art. 22 al. 1 LaCC, il n'est pas prélevé de frais dans les causes soumises à la juridiction des baux et loyers (ATF 139 III 182 consid. 2.6). * * * * * PAR CES MOTIFS, La Chambre des baux et loyers : A la forme : Déclare recevable l'appel interjeté le 27 juillet 2023 par A______ contre le jugement JTBL/606/2023 rendu le 22 mai 2023 par le Tribunal des baux et loyers dans la cause C/4362/2023. Au fond : Confirme le jugement attaqué. Dit que la procédure est gratuite. Déboute les parties de toutes autres conclusions. Siégeant : Madame Nathalie LANDRY-BARTHE, présidente; Madame Sylvie DROIN, Monsieur Laurent RIEBEN, juges; Monsieur Serge PATEK, Madame Sibel UZUN;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