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C/4276/2015 vom 18. Januar 2016</w:t>
      </w:r>
    </w:p>
    <w:p>
      <w:r>
        <w:t>GE Cour de justice, 2016-01-18, FR</w:t>
      </w:r>
    </w:p>
    <w:p>
      <w:r>
        <w:rPr>
          <w:b/>
        </w:rPr>
        <w:t xml:space="preserve">Quelle: </w:t>
      </w:r>
      <w:r>
        <w:t>https://mcp.opencaselaw.ch/entscheid/ge_gerichte_C_4276_2015</w:t>
      </w:r>
    </w:p>
    <w:p>
      <w:r>
        <w:t>FR: GE_GERICHTE C/4276/2015 du 18 janvier 2016</w:t>
      </w:r>
    </w:p>
    <w:p>
      <w:r>
        <w:t>IT: GE_GERICHTE C/4276/2015 del 18 gennaio 2016</w:t>
      </w:r>
    </w:p>
    <w:p>
      <w:pPr>
        <w:pStyle w:val="Heading2"/>
      </w:pPr>
      <w:r>
        <w:t>Regeste</w:t>
      </w:r>
    </w:p>
    <w:p>
      <w:r>
        <w:t>PROTECTION DE L'UNION CONJUGALE; VOIE DE DROIT; EFFET SUSPENSIF; PESÉE DES INTÉRÊTS; INTÉRÊT DE L'ENFANT | CPC.315</w:t>
      </w:r>
    </w:p>
    <w:p>
      <w:pPr>
        <w:pStyle w:val="Heading2"/>
      </w:pPr>
      <w:r>
        <w:t>Volltext</w:t>
      </w:r>
    </w:p>
    <w:p>
      <w:r>
        <w:t>Genf Cour de Justice (Cour civile) Chambre civile 18.01.2016 C/4276/2015 Genève Cour de Justice (Cour civile) Chambre civile 18.01.2016 C/4276/2015 Ginevra Cour de Justice (Cour civile) Chambre civile 18.01.2016 C/4276/2015</w:t>
      </w:r>
    </w:p>
    <w:p>
      <w:r>
        <w:t>PROTECTION DE L'UNION CONJUGALE; VOIE DE DROIT; EFFET SUSPENSIF; PESÉE DES INTÉRÊTS; INTÉRÊT DE L'ENFANT | CPC.315</w:t>
      </w:r>
    </w:p>
    <w:p>
      <w:r>
        <w:t>C/4276/2015 ACJC/50/2016 du 18.01.2016 sur JTPI/15036/2015 ( SDF ) Descripteurs : PROTECTION DE L'UNION CONJUGALE; VOIE DE DROIT; EFFET SUSPENSIF; PESÉE DES INTÉRÊTS; INTÉRÊT DE L'ENFANT Normes : CPC.315 Par ces motifs RÉPUBLIQUE ET CANTON DE GENÈVE POUVOIR JUDICIAIRE C/4276/2015 ACJC/50/2016 ARRÊT DE LA COUR DE JUSTICE Chambre civile du LUNDI 18 JANVIER 2016 Entre A______ , domiciliée ______, (GE), appelante d'un jugement rendu par la 18ème Chambre du Tribunal de première instance de ce canton le 8 décembre 2015, comparant par Me Damien Bonvallat, avocat, 20, rue Joseph-Girard, 1227 Carouge, (GE), en l'étude duquel elle fait élection de domicile, et B______ , domicilié ______, (GE), intimé, comparant par Me Murat Julian Alder, avocat, 15, rue des Alpes, case postale 1592, 1211 Genève 1, en l'étude duquel il fait élection de domicile. Vu, EN FAIT , le jugement JTPI/15036/2015 du 8 décembre 2015, notifié le 10 décembre 2015 à A______, aux termes duquel le Tribunal de première instance, statuant sur mesures protectrices de l'union conjugale, a, notamment, attribué à A______ la jouissance exclusive du domicile conjugal (ch. 3), laissé à A______ et à B______ la garde sur l'enfant C______ et dit que le domicile légal de l'enfant était auprès de sa mère (ch. 4), dit que la garde s'exercera une semaine sur deux par chaque parent et la moitié des vacances scolaires (ch. 5), dit que chaque parent assumera les frais courants de l'enfant lorsqu'il sera sous sa garde (ch. 6), dit que les allocations familiales étaient perçues par la mère (ch. 7) et fixé à 1'800 fr. par mois la contribution d'entretien due par B______ à l'entretien de sa famille, à compter du 1 er janvier 2015, sous déduction des montants déjà versés (ch. 8); Vu l'appel expédié le 21 décembre 2015 par A______ au greffe de la Cour de justice, qui conclut, les chiffres 4, 5 et 8 du dispositif précité étant mis à néant, à la garde de C______, à l'octroi d'un large droit de visite en faveur de son mari, reprenant les modalités du droit de visite actuel, ainsi qu'à une contribution mensuelle à l'entretien de C______ de 1'750 fr. et en sa faveur de 850 fr.; Que l'appelante requiert, à titre préalable, l'effet suspensif des chiffres 4 et 5 du dispositif, exposant que le droit de visite tel que pratiqué par les parties et dont le Service de protection des mineurs (SPMi) a préconisé le maintien, devrait être maintenu durant la procédure d'appel, afin d'éviter à C______ des changements potentiellement de courte durée; Qu'invité à se déterminer sur la requête d'effet suspensif, l'intimé s'y oppose, considérant que la requête est irrecevable en tant qu'elle ne vise qu'une partie du dispositif contesté en appel; la requête est, en outre, mal fondée, aucun préjudice n'étant susceptible de résulter de l'exécution immédiate du jugement; au contraire, celle-ci serait apte à en démontrer son bienfondé; Considérant, EN DROIT , que la Cour est saisie d'un appel au sens de l'art. 308 CPC; Que le jugement querellé portant sur des mesures provisionnelles, l'appel n'a pas d'effet suspensif ex lege (art. 315 al. 4 let. b CPC); Que compte tenu de la présence d'enfants mineurs,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mutas mutatis aux relations personnelles; Qu'en l'espèce, il convient, en premier lieu, de relever que rien ne s'oppose à ne requérir, respectivement à ne prononcer la suspension de l'effet exécutoire que sur une partie du dispositif attaqué; Que la requête est ainsi recevable; Que, par ailleurs, il n'est pas contesté que les parties ont mis en place des modalités relatives à l'exercice du droit de visite qu'elles pratiquent depuis septembre 2013; Qu'en tant que le jugement querellé modifie ces modalités, il convient, conformément à la jurisprudence précitée, de maintenir les choses en l'état pendant la procédure d'appel; Qu'à cet égard, l'intimé n'avance aucun motif impérieux justifiant l'exécution immédiate du jugement sur ce point; Qu'il apparaît ainsi dans l'intérêt de l'enfant de lui éviter d'être exposé à une modification des relations personnelles, qui pourrait, en cas d'admission de l'appel, n'être que de courte durée; Que la requête d'effet suspensif sera ainsi admise en ce qui concerne le point 5 du jugement querellé; Qu'il n'y pas lieu d'en faire de même s'agissant du ch. 4 du dispositif du jugement attaqué, qui n'introduit aucune modification de la garde, l'établissement du domicile légal de l'enfant auprès de sa mère n'étant au surplus pas de nature à créer un préjudice difficilement réparable; Qu'à supposer que la maxime d'office implique de vérifier si l'effet suspensif doit être prononcé en relation avec le montant des contributions d'entretien contestées, il est relevé que le paiement du montant mis à la charge de l'intimé n'est, a priori et sans préjudice de l'examen au fond, pas de nature à porter à l'intimé un préjudice difficilement réparable, le minimum vital de ce dernier paraissant préservé;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Admet la requête de A______ tendant à la suspension de l'effet exécutoire attaché au ch. 5 du dispositif du jugement JTPI/15036/2015 rendu le 8 décembre 2015 par le Tribunal de première instance dans la procédure C/4276/2015-18.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