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C/4229/2020 vom 5. Oktober 2020</w:t>
      </w:r>
    </w:p>
    <w:p>
      <w:r>
        <w:t>GE Cour de justice, 2020-10-05, FR</w:t>
      </w:r>
    </w:p>
    <w:p>
      <w:r>
        <w:rPr>
          <w:b/>
        </w:rPr>
        <w:t xml:space="preserve">Quelle: </w:t>
      </w:r>
      <w:r>
        <w:t>https://mcp.opencaselaw.ch/entscheid/ge_gerichte_C_4229_2020</w:t>
      </w:r>
    </w:p>
    <w:p>
      <w:r>
        <w:t>FR: GE_GERICHTE C/4229/2020 du 5 octobre 2020</w:t>
      </w:r>
    </w:p>
    <w:p>
      <w:r>
        <w:t>IT: GE_GERICHTE C/4229/2020 del 5 ottobre 2020</w:t>
      </w:r>
    </w:p>
    <w:p>
      <w:pPr>
        <w:pStyle w:val="Heading2"/>
      </w:pPr>
      <w:r>
        <w:t>Regeste</w:t>
      </w:r>
    </w:p>
    <w:p>
      <w:r>
        <w:t>CPC.257; CO.257d</w:t>
      </w:r>
    </w:p>
    <w:p>
      <w:pPr>
        <w:pStyle w:val="Heading2"/>
      </w:pPr>
      <w:r>
        <w:t>Erwägungen</w:t>
      </w:r>
    </w:p>
    <w:p>
      <w:r>
        <w:rPr>
          <w:b/>
        </w:rPr>
        <w:t>E. 1</w:t>
      </w:r>
    </w:p>
    <w:p>
      <w:r>
        <w:t>1.1 La Chambre des baux et loyers connaît des appels et des recours dirigés contre les jugements du Tribunal des baux et loyers (art. 122 let. a LOJ).</w:t>
      </w:r>
    </w:p>
    <w:p>
      <w:r>
        <w:rPr>
          <w:b/>
        </w:rPr>
        <w:t>E. 1.2</w:t>
      </w:r>
    </w:p>
    <w:p>
      <w:r>
        <w:t>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Lorsque la décision de première instance a été rendue en procédure sommaire, le délai pour l'introduction du recours est de dix jours (art. 321 al. 2 CPC). La procédure sommaire s'applique à la procédure de cas clair (art. 248 let. b CPC).</w:t>
      </w:r>
    </w:p>
    <w:p>
      <w:r>
        <w:rPr>
          <w:b/>
        </w:rPr>
        <w:t>E. 1.3</w:t>
      </w:r>
    </w:p>
    <w:p>
      <w:r>
        <w:t>En l'espèce, compte tenu du loyer mensuel des locaux allégué, de 2'000 fr. par mois, la valeur litigieuse est supérieure à 10'000 fr., de sorte que la voie de l'appel est ouverte. Formé dans les formes et délai prescrits par la loi, l'appel est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a produit de nouvelles pièces et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Les allégations et les pièces nouvelles de l'appelante ne sont donc pas recevables, de sorte que la Cour examinera la cause sur la base du dossier qui était en mains des juges de première instance.</w:t>
      </w:r>
    </w:p>
    <w:p>
      <w:r>
        <w:rPr>
          <w:b/>
        </w:rPr>
        <w:t>E. 3</w:t>
      </w:r>
    </w:p>
    <w:p>
      <w:r>
        <w:t>L'appelante reproche au Tribunal d'avoir considéré que l'état de fait n'était pas clair et d'avoir déclaré irrecevable sa requête en protection de cas clair.</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3.2</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w:t>
      </w:r>
    </w:p>
    <w:p>
      <w:r>
        <w:rPr>
          <w:b/>
        </w:rPr>
        <w:t>E. 3.3</w:t>
      </w:r>
    </w:p>
    <w:p>
      <w:r>
        <w:t>A la fin du bail, le locataire est tenu de restituer la chose au bailleur (art. 267 al. 1 CO). S'il reste dans les lieux loués nonobstant l'expiration du bail, il commet une faute contractuelle (ATF 121 III 408 consid. 4c; 117 II 65 consid. 2b). En conséquence, le bailleur peut lui réclamer une indemnité pour occupation illicite des locaux, laquelle correspond en principe au montant du loyer pour la période pendant laquelle le locataire demeure dans les lieux (arrêts du Tribunal fédéral 4C_103/2006 consid. 4.1; 4C_183/1996 consid. 3c; ATF 131 III 257 consid. 2).</w:t>
      </w:r>
    </w:p>
    <w:p>
      <w:r>
        <w:rPr>
          <w:b/>
        </w:rPr>
        <w:t>E. 3.4</w:t>
      </w:r>
    </w:p>
    <w:p>
      <w:r>
        <w:t>En l'espèce, l'intimée, défenderesse en première instance, ne s'est pas présentée ni fait représenter à l'audience du Tribunal, à laquelle elle a été valablement convoquée par publication dans la FAO du ______ 2020, de sorte qu'elle a fait défaut. Il en découle qu'elle n'a pas contesté l'état de fait allégué par l'appelante. Cette dernière a fait état de ce qu'aucun contrat de bail écrit n'avait été formalisé entre les parties. Etant locataire de bureaux et de dépôts dans l'immeuble en cause, elle a conclu avec l'intimée un contrat de sous-location, pour un loyer mensuel de 2'000 fr. Elle a produit onze confirmations de crédit en sa faveur, de 2'000 fr. chacun, versés par l'intimée. Elle a également versé à la procédure les avis comminatoires et de résiliation du bail adressés à l'intimée. Enfin, elle a fait notifier à l'intimée un commandement de payer portant sur la somme de 8'000 fr., à titre d'arriérés de loyers depuis le mois de mai 2019. La situation de fait est dès lors claire en l'absence de contestation par l'intimée. Il en va de même de la situation juridique, les conditions de résiliation pour défaut de paiement étant réunies.</w:t>
      </w:r>
    </w:p>
    <w:p>
      <w:r>
        <w:rPr>
          <w:b/>
        </w:rPr>
        <w:t>E. 3.5</w:t>
      </w:r>
    </w:p>
    <w:p>
      <w:r>
        <w:t>Le jugement entrepris sera par conséquent annulé, et, la cause étant en état d'être jugée (art. 318 al. 1 let. b CPC), il sera fait droit aux conclusions de l'appelante, de sorte que l'évacuation de l'intimée sera ordonnée ainsi que les mesures d'exécution directe du jugement d'évacuation. L'intimée sera également condamnée à verser à la recourante 2'000 fr. par mois échu à titre d'indemnité pour occupation illicite, jusqu'à complète restitution des locaux en cause.</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6 juillet 2020 par A______ SARL contre le jugement JTBL/403/2020 rendu le 19 juin 2020 par le Tribunal des baux et loyers dans la cause C/4229/2020-8-SE. Au fond : Annule ce jugement. Cela fait et statuant à nouveau : Condamne B______ SA à évacuer immédiatement de sa personne, de ses biens et de toute personne dont elle est responsable le dépôt d'environ 700 m 2 sis dans l'immeuble route 1______ [no.] ______ à C______, parcelle 2______ de la Commune de C______, dès l'entrée en force du présent arrêt. Autorise A______ SARL à requérir l'évacuation par la force publique de B______ SA du dépôt d'environ 700 m 2 sis dans l'immeuble route 1______ [no.] ______ à C______, parcelle 2______ de la Commune de C______. Condamne B______ SA à verser 2'000 fr. par mois à A______ SARL à titre d'indemnités pour occupation illicite, jusqu'à restitution des locaux.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