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C/3995/2015 vom 2. Februar 2016</w:t>
      </w:r>
    </w:p>
    <w:p>
      <w:r>
        <w:t>GE Cour de justice, 2016-02-02, FR</w:t>
      </w:r>
    </w:p>
    <w:p>
      <w:r>
        <w:rPr>
          <w:b/>
        </w:rPr>
        <w:t xml:space="preserve">Quelle: </w:t>
      </w:r>
      <w:r>
        <w:t>https://mcp.opencaselaw.ch/entscheid/ge_gerichte_C_3995_2015</w:t>
      </w:r>
    </w:p>
    <w:p>
      <w:r>
        <w:t>FR: GE_GERICHTE C/3995/2015 du 2 février 2016</w:t>
      </w:r>
    </w:p>
    <w:p>
      <w:r>
        <w:t>IT: GE_GERICHTE C/3995/2015 del 2 febbraio 2016</w:t>
      </w:r>
    </w:p>
    <w:p>
      <w:pPr>
        <w:pStyle w:val="Heading2"/>
      </w:pPr>
      <w:r>
        <w:t>Regeste</w:t>
      </w:r>
    </w:p>
    <w:p>
      <w:r>
        <w:t>PROTECTION DE L'UNION CONJUGALE; EFFET SUSPENSIF | CPC.315</w:t>
      </w:r>
    </w:p>
    <w:p>
      <w:pPr>
        <w:pStyle w:val="Heading2"/>
      </w:pPr>
      <w:r>
        <w:t>Volltext</w:t>
      </w:r>
    </w:p>
    <w:p>
      <w:r>
        <w:t>Genf Cour de Justice (Cour civile) Chambre civile 02.02.2016 C/3995/2015 Genève Cour de Justice (Cour civile) Chambre civile 02.02.2016 C/3995/2015 Ginevra Cour de Justice (Cour civile) Chambre civile 02.02.2016 C/3995/2015</w:t>
      </w:r>
    </w:p>
    <w:p>
      <w:r>
        <w:t>PROTECTION DE L'UNION CONJUGALE; EFFET SUSPENSIF | CPC.315</w:t>
      </w:r>
    </w:p>
    <w:p>
      <w:r>
        <w:t>C/3995/2015 ACJC/115/2016 du 02.02.2016 sur JTPI/15689/2015 ( SDF ) Descripteurs : PROTECTION DE L'UNION CONJUGALE; EFFET SUSPENSIF Normes : CPC.315 Par ces motifs RÉPUBLIQUE ET CANTON DE GENÈVE POUVOIR JUDICIAIRE C/3995/2015 ACJC/115/2016 ARRÊT DE LA COUR DE JUSTICE Chambre civile du MARDI 2 FÉVRIER 2016 Entre Monsieur A______ , domicilié ______, appelant d'un jugement rendu par la 13ème Chambre du Tribunal de première instance de ce canton le 23 décembre 2015, comparant par Me Corinne Nerfin, avocate, rue Versonnex 7, 1207 Genève, en l'étude de laquelle il fait élection de domicile, et Madame B______ , domiciliée ______, intimée, comparant par Me Alexandra Clivaz-Buttler, avocate, rue de la Rôtisserie 2, case postale 3809, 1211 Genève 3, en l'étude de laquelle elle fait élection de domicile. Vu, EN FAIT , le jugement JTPI/15689/2015 du 23 décembre 2015, notifié le 5 janvier 2016 à A______, aux termes duquel le Tribunal de première instance, statuant sur mesures protectrices de l'union conjugale, a, notamment, attribué la garde sur C______, D______, E______ et F______ à B______ (ch. 3), réservé au père un large droit de visite (ch. 4) et fixé la contribution mensuelle d'entretien due pour chaque enfant, allocations familiales non comprises, du 1 er novembre 2015 au 31 janvier 2016 à 250 fr., puis à 200 fr. (ch. 5); Vu l'appel déposé le 15 janvier 2016 par A______ au greffe de la Cour de justice par lequel il conteste le chiffre 5 du dispositif précité et conclut à ce qu'il soit dit qu'il ne doit aucune contribution à l'entretien des enfants; Qu'il requiert l'octroi de l'effet suspensif, expliquant que ses moyens ne lui permettent pas de faire face à son obligation d'entretien, de sorte qu'en cas d'absence d'effet suspensif, il s'expose à des poursuites tant civiles que pénales; Qu'invitée à se déterminer sur la requête d'effet suspensif, l'intimée s'y oppose, exposant que l'appelant n'assume, en l'état, aucun frais de logement, qu'il est en mesure de travailler et que l'aide sociale à laquelle elle devrait recourir est subsidiaire à l'obligation d'entretien;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indemnités de chômage perçues en moyenne par l'appelant s'élèvent à 2'050 fr. par mois; Qu'il allègue des charges mensuelles de 2'974 fr. 15, comportant un loyer de 1'200 fr.; Que l'intimée a soutenu, sans être contredite, que l'appelant ne s'acquittait, en l'état, pas d'un loyer; Qu'en outre, l'appelant a précisé que ses charges se monteraient à 2'974 fr. 15 par mois, dès qu'il aurait trouvé un logement lui permettant d'y accueillir ses enfants lors de l'exercice du droit de visite; Qu'au vu de ces éléments, il sera retenu, prima facie et sous l'angle de la vraisemblance, que l'appelant n'assume en l'état pas de frais de logement; Qu'ainsi, son disponible mensuel s'élève en moyenne, en retenant les autres charges qu'il allègue, à 1'774 fr. 15; Qu'il apparaît que ce montant lui permet de s'acquitter des contributions de 1'000 fr., respectivement 800 fr. au total par mois mises à sa charge; Qu'il ne conteste, par ailleurs, ni que ces montants ne couvrent pas le minimum vital de ses enfants, qu'il estime à 428 fr. par mois et par enfant, ni que le disponible de son épouse ne suffit pas à couvrir leurs charges incompressibles;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5 du dispositif du jugement JTPI/15689/2015 rendu le 23 décembre 2015 par le Tribunal de première instance dans la procédure C/3995/2015-13.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