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C/3943/2008 vom 5. Februar 2021</w:t>
      </w:r>
    </w:p>
    <w:p>
      <w:r>
        <w:t>GE Cour de justice, 2021-02-05, FR</w:t>
      </w:r>
    </w:p>
    <w:p>
      <w:r>
        <w:rPr>
          <w:b/>
        </w:rPr>
        <w:t xml:space="preserve">Quelle: </w:t>
      </w:r>
      <w:r>
        <w:t>https://mcp.opencaselaw.ch/entscheid/ge_gerichte_C_3943_2008</w:t>
      </w:r>
    </w:p>
    <w:p>
      <w:r>
        <w:t>FR: GE_GERICHTE C/3943/2008 du 5 février 2021</w:t>
      </w:r>
    </w:p>
    <w:p>
      <w:r>
        <w:t>IT: GE_GERICHTE C/3943/2008 del 5 febbraio 2021</w:t>
      </w:r>
    </w:p>
    <w:p>
      <w:pPr>
        <w:pStyle w:val="Heading2"/>
      </w:pPr>
      <w:r>
        <w:t>Regeste</w:t>
      </w:r>
    </w:p>
    <w:p>
      <w:r>
        <w:t>CC.273</w:t>
      </w:r>
    </w:p>
    <w:p>
      <w:pPr>
        <w:pStyle w:val="Heading2"/>
      </w:pPr>
      <w:r>
        <w:t>Erwägungen</w:t>
      </w:r>
    </w:p>
    <w:p>
      <w:r>
        <w:rPr>
          <w:b/>
        </w:rPr>
        <w:t>E. 1.1</w:t>
      </w:r>
    </w:p>
    <w:p>
      <w:r>
        <w:t>Interjeté auprès de la Chambre de surveillance de la Cour de justice (art. 53 al. 1 LaCC), dans les délai et forme utiles (art. 450 al. 3, 450a al. 1 et 450b al. 1 CC, applicables par renvoi de l'art. 314 al. 1; art. 53 al. 2 LaCC) par une personne qui dispose de la qualité pour recourir (art. 450 al. 2 ch. 1 CC; art. 35 let. b LaCC), à l'encontre d'une décision rendue par le Tribunal de protection (art. 450 al. 1 CC), le recours est recevable.</w:t>
      </w:r>
    </w:p>
    <w:p>
      <w:r>
        <w:rPr>
          <w:b/>
        </w:rPr>
        <w:t>E. 1.2</w:t>
      </w:r>
    </w:p>
    <w:p>
      <w:r>
        <w:t>En l'absence de tout grief relatif aux ch. 2 et 3 du dispositif de l'ordonnance attaquée, le recours est irrecevable à leur propos (art. 450 al. 3 CC).</w:t>
      </w:r>
    </w:p>
    <w:p>
      <w:r>
        <w:rPr>
          <w:b/>
        </w:rPr>
        <w:t>E. 1.3</w:t>
      </w:r>
    </w:p>
    <w:p>
      <w:r>
        <w:t>La Chambre de surveillance examine la cause librement, en fait, en droit et sous l'angle de l'opportunité (art. 450a al. 1 CC). Elle établit les faits d'office et n'est pas liée par les conclusions des parties (art. 446 al. 1 et 3 CC).</w:t>
      </w:r>
    </w:p>
    <w:p>
      <w:r>
        <w:rPr>
          <w:b/>
        </w:rPr>
        <w:t>E. 2</w:t>
      </w:r>
    </w:p>
    <w:p>
      <w:r>
        <w:t>La recourante fait grief au Tribunal de protection d'avoir suspendu temporairement les relations personnelles entre elle-même et son fils, alors qu'aucun élément au dossier ne démontrait selon elle l'existence d'un danger pour le développement de l'enfant, en cas de maintien de celles-ci. Cette décision apparaissait pour le surplus disproportionnée, dans la mesure où le SPMi ne sollicitait dans son rapport qu'une diminution de la fréquence desdites relations. 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(Vez, Le droit de visite - Problèmes récurrents, in Enfant et divorce, 2006, p. 101 ss, 105). Si les relations personnelles compromettent le développement de l'enfant (...), le droit d'entretenir ces relations peut leur être refusé ou retiré (art. 274 al. 2 CC). La limitation du droit aux relations personnelles doit respecter le principe de proportionnalité (LEUBA CR-CC 2010, ad art. 274 n° 18-22). Le juge dispose d'un large pouvoir d'appréciation (ATF 122 III 404 consid. 3d). Lorsque le juge fixe l'étendue du droit de visite, il convient d'avoir à l'esprit le but auquel tend la relation personnelle entre le parent et l'enfant et de voir ce que l'enfant est en mesure de supporter, le bien de l'enfant étant déterminant (ATF 120 II 229 consid. 4). Pour apprécier ce qu'est le bien de l'enfant, le juge tiendra compte de manière équitable de l'ensemble des circonstances, notamment de l'âge de l'enfant, de sa santé et des relations qu'il entretient avec l'ayant-droit (MEIER/STETTLER, Droit de la filiation, 2009, n° 700 p. 407). 2.2.2 En l'espèce, la décision du Tribunal de protection d'ordonner la suspension temporaire des relations personnelles entre la recourante et son fils doit être confirmée. En effet, tout d'abord cette suspension n'est que temporaire et non définitive. La question pourra être réexaminée en cas de changement de circonstances. En outre, il ressort du dossier que les relations personnelles entre la recourante et l'enfant avaient été suspendues durant de nombreux mois préalablement à la décision provisionnelle prononcée par le Tribunal de protection le 16 juillet 2019, rétablissant un droit de visite progressif entre la mère et l'enfant. Or, le dossier enseigne que tous les intervenants, SPMi, psychologue de l'enfant, infirmière scolaire, ont constaté une péjoration de l'état de l'enfant depuis la reprise desdites relations, le mal-être de celui-ci s'étant accru et ayant suscité chez lui des "idées noires". Ces faits ont conduit le SPMi à préconiser, dans son rapport du 9 mars 2020, une drastique réduction du droit de visite à un après-midi par mois, si possible de manière médiatisée, soit dans les faits une quasi interruption desdites relations. En prenant la décision de suspendre complètement, temporairement, le droit de visite de la recourante sur son fils, le Tribunal de protection n'a pas violé le principe de proportionnalité et a respecté parfaitement le principe cardinal de l'intérêt de l'enfant dans la fixation des relations personnelles avec ses parents. Tant le rapport précité du SPMi et les déclarations des intervenants médicaux et paramédicaux qui y sont contenues, que les affirmations claires et répétées du mineur, âgé de quatorze ans, conduisent à considérer un rétablissement contraint des relations entre l'enfant et sa mère comme une source de déstabilisation et de mise en danger de son développement psychique. Il était dès lors parfaitement dans son intérêt de refuser de le contraindre à l'exercice de relations personnelles délétères et rejetées avec virulence. Ce rejet a par ailleurs été confirmé par l'enfant à l'adresse de la Cour dans les observations du SPMi, reçues le 3 mai 2021. Par conséquent, il n'est de toute évidence pas dans l'intérêt du développement harmonieux de l'enfant que des relations personnelles avec sa mère soient maintenues en l'état et dans les circonstances découlant du dossier. Conforme à la loi et proportionnée, la décision ne peut être que confirmée.</w:t>
      </w:r>
    </w:p>
    <w:p>
      <w:r>
        <w:rPr>
          <w:b/>
        </w:rPr>
        <w:t>E. 3</w:t>
      </w:r>
    </w:p>
    <w:p>
      <w:r>
        <w:t>Dans la mesure où elle succombe, la recourante supportera les frais de la procédure, arrêtés à 400 fr. Dans la mesure où elle bénéficie de l'assistance judiciaire, ces frais seront provisoirement supportés par l'Etat de Genève. * * * * * PAR CES MOTIFS, La Chambre de surveillance : A la forme : Déclare recevable le recours formé le 5 février 2021 par A______ contre l'ordonnance DTAE/7577/2020 rendue le 30 septembre 2020 par le Tribunal de protection de l'adulte et de l'enfant dans la cause C/3943/2008. Au fond : Le rejette et confirme l'ordonnance attaquée. Sur les frais : Arrête les frais de la procédure de recours à 400 fr., les met à la charge de A______ et dit qu'ils sont provisoirement supportés par l'Etat de Genève, vu l'octroi de l'assistance judiciaire.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