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C/3923/2018 vom 5. Februar 2019</w:t>
      </w:r>
    </w:p>
    <w:p>
      <w:r>
        <w:t>GE Cour de justice, 2019-02-05, FR</w:t>
      </w:r>
    </w:p>
    <w:p>
      <w:r>
        <w:rPr>
          <w:b/>
        </w:rPr>
        <w:t xml:space="preserve">Quelle: </w:t>
      </w:r>
      <w:r>
        <w:t>https://mcp.opencaselaw.ch/entscheid/ge_gerichte_C_3923_2018</w:t>
      </w:r>
    </w:p>
    <w:p>
      <w:r>
        <w:t>FR: GE_GERICHTE C/3923/2018 du 5 février 2019</w:t>
      </w:r>
    </w:p>
    <w:p>
      <w:r>
        <w:t>IT: GE_GERICHTE C/3923/2018 del 5 febbraio 2019</w:t>
      </w:r>
    </w:p>
    <w:p>
      <w:pPr>
        <w:pStyle w:val="Heading2"/>
      </w:pPr>
      <w:r>
        <w:t>Regeste</w:t>
      </w:r>
    </w:p>
    <w:p>
      <w:r>
        <w:t>PROTECTION DE L'UNION CONJUGALE ; OBLIGATION D'ENTRETIEN | CC.176.al1.ch1</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Le litige portant sur le montant de la contribution à l’entretien de l’épouse, il est de nature pécuniaire (ATF 133 III 393 consid. 2; arrêts du Tribunal fédéral 5A_42/2013 du 27 juin 2013 consid. 1.1; 5A_906/2012 du 18 avril 2013 consid. 1; 5A_236/2011 du 18 octobre 2011 consid. 1; 5A_511/2010 du</w:t>
      </w:r>
    </w:p>
    <w:p>
      <w:r>
        <w:rPr>
          <w:b/>
        </w:rPr>
        <w:t>E. 1.2</w:t>
      </w:r>
    </w:p>
    <w:p>
      <w:r>
        <w:t>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En l’espèce, l’appel est recevable pour avoir été formé en temps utile (art. 314 al. 1 CPC) et selon la forme prescrite par la loi (art. 311 al. 1), devant l'autorité compétente (art. 130 al. 1 CPC).</w:t>
      </w:r>
    </w:p>
    <w:p>
      <w:r>
        <w:rPr>
          <w:b/>
        </w:rPr>
        <w:t>E. 1.3</w:t>
      </w:r>
    </w:p>
    <w:p>
      <w:r>
        <w:t>La Cour revoit la cause en fait et en droit avec un plein pouvoir d'examen (art. 310 CPC). Toutefois, les mesures protectrices de l'union conjugale étant soumises à la procédure sommaire, sa cognition est limitée à la simple vraisemblance des faits et à un examen sommaire du droit (ATF 127 III 474 consid. 2b/bb, JdT 2002 I 352; arrêt du Tribunal fédéral 5A_792/2016 du 23 janvier 2017 consid. 4.1). La fixation de la contribution d'entretien du conjoint dans le cadre de mesures protectrices de l'union conjugale est soumise à la maxime de disposition (art. 58 CPC; ATF 129 III 417 consid. 2.1.2; arrêt du Tribunal fédéral 5A_421/2015 du 21 janvier 2016 consid. 6.2.3). 2. L’intimé a produit des pièces nouvelles à l'appui de son écriture de duplique. 2.1 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2.2 En l’espèce les pièces 23 à 25 déposées par l’intimé ne sont pas recevables dès lors qu’elles ont été établies en mars/avril 2018, soit avant que le Tribunal ne garde la cause à juger le 27 juin 2018. Les pièces 23 et 24 sont en tout état dénuées de force probante, ayant été établies de la main même de l’intimé sans que les faits qu’elles contiennent ne soient corroborés par d’autres moyens de preuve. En revanche, les pièces 22 et 26 sont recevables, puisqu’elles ont été établies après le dépôt du mémoire de réponse de l’intimé et dans le délai fixé pour dupliquer. Il en va de même des allégations qu'elles visent. 3. L’appelante reproche au Tribunal d’avoir violé son droit d’être entendue en renonçant à intégrer dans son jugement et sa réflexion plusieurs éléments de fait et pièces dûment mis en exergue en cours de procédure, respectivement en motivant de façon insuffisante son refus de lui octroyer une contribution à son entretien et en n’exposant pas les motifs pour lesquels il a estimé que sa situation financière lui permettait de maintenir son train de vie antérieur. 3.1 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JdT 2004 I 588; arrêt du Tribunal fédéral 5A_598/2012 du 4 décembre 2012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 Si l'autorité de recours a une cognition complète, il est en principe admissible, sous l'angle du droit constitutionnel, de guérir les défauts de motivation du jugement de première instance (cf. ATF 135 I 279 consid. 2.6.1, JdT 2010 I 255; ATF 137 I 195 consid. 2.3.2, SJ 2011 I 345; arrêt du Tribunal fédéral 5A_638/2016 du 2 décembre 2016 consid. 3.5.2). 3.2 En l'espèce, le Tribunal, après avoir établi les revenus et les charges des parties de manière détaillée, a considéré que l’appelante n’avait pas prouvé que les époux avaient un train de vie dispendieux ou qu’ils avaient constitué une épargne durant la vie commune et que celle-ci était en mesure de couvrir ses charges tout en bénéficiant d’un solde mensuel, de sorte qu’aucune contribution à son entretien n’était due par l’intimé. Cette motivation, certes succincte, est suffisante, en particulier en procédure sommaire, et a d'ailleurs permis à la recourante de contester utilement la décision querellée. En tout état, la Cour dispose d'un pouvoir de cognition complet sur la question litigieuse, en fait et en droit, de sorte qu'un éventuel défaut de motivation pourrait être guéri dans le cadre du présent arrêt. Ce grief de la recourante est ainsi infondé.</w:t>
      </w:r>
    </w:p>
    <w:p>
      <w:r>
        <w:rPr>
          <w:b/>
        </w:rPr>
        <w:t>E. 4</w:t>
      </w:r>
    </w:p>
    <w:p>
      <w:r>
        <w:t>L’appelante reproche au Tribunal de ne pas avoir tenu compte de ce qu’elle était totalement entretenue par son époux du temps de la vie commune et qu’en l’obligeant à subvenir seule à son entretien, il l’avait ainsi privée de son droit à conserver son train de vie antérieur. 4.1.1 A la requête d'un des conjoints et si la suspension de la vie commune est fondée, le juge fixe la contribution pécuniaire à verser par l'une des parties à l'autre (art. 176 al. 1 ch. 1 CC). Le principe et le montant de la contribution d'entretien due selon l'art. 176 al. 1 ch. 1 CC se déterminent en fonction des facultés économiques et des besoins respectifs des époux, sans anticiper sur la liquidation du régime matrimonial (ATF 121 I 97 consid. 3b; 118 II 376 consid. 20b; 115 II 424 consid. 3).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(ATF 137 III 385 consid. 3.1; arrêts du Tribunal fédéral 5A_137/2017 du 29 juin 2017 consid. 4.2; 5A_62/2011 du 26 juillet 2011 consid. 3.1). La loi n'impose pas de méthode de calcul particulière pour arrêter le montant de la contribution d'entretien (ATF 140 III 337 consid. 4.2.2; 128 III 411 consid. 3.2.2); sa fixation relève de l'appréciation du juge, qui jouit pour cela d'un large pouvoir et applique les règles du droit et de l'équité (art. 4 CC; ATF 134 III 577 consid. 4; 127 III 136 consid. 3a; 111 II 410 consid. 2a; arrêt du Tribunal fédéral 5A_920/2016 du 5 juillet 2017 consid. 4.1.1). 4.1.2 En cas de situations financières modestes ou moyennes, il peut être fait application de la méthode dite du minimum vital, avec répartition de l'excédent. Les charges des parties se calculent en se fondant sur le minimum vital de base du droit des poursuites (art. 93 LP), élargi des dépenses incompressibles (ATF 110 III 17 consid. 2b; arrêts du Tribunal fédéral 5A_143/2017 du 20 février 2017 consid. 4.3 ; 5A_65/2013 du 4 septembre 2013 consid. 3.1.2).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appartient au créancier de préciser les dépenses nécessaires à son train de vie et de rendre celles-ci vraisemblables (ATF 115 II 424 consid. 3; arrêt du Tribunal fédéral 5A_315/2016 du 7 février 2017 consid. 5.1), le juge statuant sur la base des justificatifs immédiatement disponibles (arrêt du Tribunal fédéral 5A_315/2016 précité). Le train de vie mené jusqu'à la cessation de la vie commune constitue la limite supérieure du droit à l'entretien. Il s'agit d'un principe général qui s'applique indépendamment de la méthode de fixation de la pension (méthode fondée sur les dépenses effectives; méthode du minimum vital élargi avec répartition de l'excédent) (arrêt du Tribunal fédéral 5A_445/2014 du 28 août 2014 consid. 4.1). L'obligation d'entretien trouve sa limite dans la capacité contributive du débirentier, en ce sens que le minimum vital de celui-ci doit être préservé (ATF 140 III 337 consid. 4.3; 135 III 66 consid. 2). 4.1.3 Lors de la fixation de la contribution à l'entretien, le juge doit en principe tenir compte des revenus effectifs. Lorsqu'il entend tenir compte d'un revenu hypothétique, le juge doit examiner si l'on peut raisonnablement exiger de la personne concernée qu'elle exerce une activité lucrative, eu égard, notamment, à sa formation, à son âge et à son état de santé. Lorsqu'il tranche cette question, le juge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arrêt du Tribunal fédéral 5A_137/2017 du 29 juin 2017 consid. 4.3). Toutefois, lorsque le débirentier diminue volontairement son revenu, ou y renonce, alors qu'il savait, ou devait savoir, qu'il lui incombait d'assumer des obligations d'entretien, il n'est pas arbitraire de lui imputer le revenu qu'il gagnait précédemment, ce avec effet rétroactif au jour de la diminution (arrêts du Tribunal fédéral 5A_318/2014 du 2 octobre 2014  consid. 3.1.3.2; 5A_317/2011 du 22 novembre 2011 consid. 6.2, non publié aux ATF 137 III 614 ; 5A_612/2011 du 27 février 2012 consid. 2.1; 5A_341/2011 du 20 septembre 2011 consid. 2.5.1 ; 5A_848/2010 du 4 avril 2011 consid. 2, publié in FamPra.ch 2011, p. 717). 4.1.4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 du Tribunal fédéral 5A_458/2014 du 8 septembre 2014 consid. 4.1.2). L’effet rétroactif ne se justifie que si l'entretien dû n'a pas été assumé en nature ou en espèces ou dès qu'il a cessé de l'être (arrêts du Tribunal fédéral 5A_372/2015 du 29 septembre 2015 consid. 3.1 ; 5A_591/2011 du</w:t>
      </w:r>
    </w:p>
    <w:p>
      <w:r>
        <w:rPr>
          <w:b/>
        </w:rPr>
        <w:t>E. 4.2</w:t>
      </w:r>
    </w:p>
    <w:p>
      <w:r>
        <w:t>En l’espèce, s’il est admis que les parties louaient une villa, se rendaient régulièrement au restaurant et partaient régulièrement en vacances à l’étranger, il n’est pas rendu vraisemblable qu’ils entretenaient le train de vie dispendieux allégué par l’appelante. Selon les déclarations concordantes des parties, l’intimé prenait en charge tous les frais du ménage durant la vie commune. L’appelante a pour sa part constamment déclaré n’avoir réalisé aucune économie du temps de la vie commune, finançant les séjours linguistiques des enfants et effectuant des donations. L’appelante n’utilisait pas ses revenus pour son propre entretien, hormis sa participation aux frais des vacances, disposant ainsi librement de ses propres revenus qu’elle dépensait à sa guise. Par conséquent, le maintien du train de vie de l’appelante implique qu’elle puisse continuer à bénéficier d’un disponible similaire. Il sied toutefois de tenir compte du fait que la création de deux ménages séparés a engendré une augmentation des charges totales des époux et qu’il se justifie que l’appelante prenne à sa charge la moitié de cette augmentation, chacun des époux devant voir son train de vie réduit en raison de ces nouvelles charges. Du temps de la vie commune, l’intimé s’acquittait pour l’appelante de ses frais de logement, y compris la prime d’assurance RC/ménage, de ses primes d’assurance-maladie de base et complémentaire, de ses frais médicaux non couverts, de ses frais de véhicule, de ses impôts et de son entretien de base selon les normes OP (850 fr., soit ½ de 1'700 fr.). L’appelante prenait elle-même en charge sa part des frais de vacances. Depuis que l’appelante s’est créé un domicile séparé, ses charges s’élèvent à 5'198 fr., comprenant le loyer (1'425 fr.), le parking (100 fr.), les primes d’assurance-maladie (745 fr.), les frais médicaux non couverts (172 fr.), la prime d’assurance RC/ménage (31 fr.), sa part privée de frais de véhicule (150 fr.), les acomptes d’impôts (estimés à 1'200 fr.), les frais de vacances (175 fr., 4'200 fr. par année en moyenne entre 2010 et 2014 pour le couple) et son entretien de base selon les normes OP (1'200 fr.). L’ensemble des frais médicaux non couverts seront pris en considération dès lors que si, comme l’allègue l’intimé, les frais non couverts par l’assurance de base se confondaient avec ceux non remboursés par l’assurance complémentaire les montants seraient les mêmes, ce qui n’est pas le cas. Dès lors, la création de deux foyers séparés a engendré pour les parties une augmentation de leurs charges de 2'256 fr., comprenant le loyer de l’appelante, frais de parking compris (1'525 fr.), la prime d’assurance RC/ménage (31 fr.) et l’entretien de base selon les normes OP (700 fr. soit 2 x 1'200 fr. – 1'700 fr.). Compte tenu du fait que l’appelante prenait déjà elle-même en charge sa participation aux frais de vacances (175 fr.) et qu’il y a lieu de la faire participer pour moitié aux frais engendrés par la création de deux foyers séparés (1'128 fr.), c’est une somme de 3'895 fr. (5'198 fr. – 175 fr. – 1'128 fr.) dont l’appelante a besoin pour conserver son train de vie antérieur. Depuis le départ de l’appelante, les revenus de l’intimé ont augmenté de 1'666 fr. par mois en moyenne grâce à la location d’une partie de la villa. Simultanément, ses charges ont diminué puisqu’il ne doit plus s’acquitter des frais de l’appelante relatifs à ses primes d’assurance-maladie de base et complémentaire (745 fr.), ses frais médicaux non couverts (172 fr.), ses frais de véhicule (150 fr.), ses impôts (1’200 fr.) et son entretien de base selon les normes OP (850 fr.), soit une diminution de ses charges de 3'117 fr. L’appelant, dont les revenus ont toujours suffi à couvrir l’ensemble des charges de la famille, puisqu’il n’allègue pas avoir souscrit des emprunts pour pouvoir y faire face, dispose ainsi des moyens financiers nécessaires pour verser à son épouse une contribution d’entretien permettant de maintenir son train de vie. Si l’intimé a prouvé avoir vendu les actions de ses sociétés et avoir été licencié à la suite de cette cession, il n’a toutefois pas rendu vraisemblable que ces sociétés étaient en difficultés financières et que leur vente était la seule issue possible. Dès lors que l’intimé a volontairement renoncé à ses revenus alors qu’il savait devoir potentiellement s’acquitter d’une contribution à l’entretien de son épouse, il n’y a pas lieu de tenir compte de cette perte de revenus. L’appelante ayant limité ses prétentions en versement d’une contribution à son entretien à 3'000 fr. par mois, il sera fait droit à ses conclusions. Les parties vivant séparées depuis le 1 er août 2017 et l’intimé n’ayant pas contribué à l’entretien de l’appelante depuis cette date, la contribution sera due dès le 1 er août 2017. La question de savoir lequel des époux s’est acquitté des impôts de l’appelante pour l’année 2017 n’étant pas clairement établie, celle-ci devra, cas échéant, être examinée dans le cadre du règlement des dettes entre époux lors de la liquidation de leur régime matrimonial. Au vu de ce qui précède, le chiffre 3 du dispositif de la décision querellée sera annulé et l’intimé sera condamné à verser à l’appelante 3'000 fr., par mois et d’avance, dès le 1 er août 2017, à titre de contribution à son entretien. 5. 5.1 Si l'instance d'appel statue à nouveau, elle se prononce sur les frais de la première instance (art. 318 al. 3 CPC). Les parties ne critiquent ni la quotité ni la répartition des frais de première instance, lesquelles apparaissent au demeurant conforme au règlement fixant le tarif des frais en matière civile (RTFMC; E 1 05.10). Ces éléments seront donc confirmés, compte tenu de la nature familiale du litige. 5.2 Les frais judiciaires d'appel seront arrêtés à 800 fr. (art. 31 et 37 RTFMC). Pour des motifs d'équité liés à la nature et à l'issue du litige, ils seront répartis à parts égales entre les parties (art. 107 al. 1 let. c CPC). Ils seront compensés avec l'avance de frais de même montant versée par l'appelante, laquelle demeure acquise à l'Etat (art. 111 al. 1 CPC). L'intimé sera condamné à payer à l'appelante la somme de 400 fr. à titre de remboursement d'avance de frais (art. 111 al. 2 CPC). Compte tenu de la nature familiale du litige, chaque partie supportera ses propres dépens d'appel (art. 107 al. 1 let. c CPC). 6. L'arrêt de la Cour, qui statue sur mesures provisionnelles, est susceptible d'un recours en matière civile, les moyens étant limités en application de l'art. 98 LTF. * * * * * PAR CES MOTIFS, La Chambre civile : A la forme : Déclare recevable l'appel interjeté le 13 août 2018 par A______ contre les chiffres 3, 5 et 6 du dispositif du jugement JTPI/11791/2018 rendu le 31 juillet 2018 par le Tribunal de première instance dans la cause C/3923/2018-20. Au fond : Annule le chiffre 3 du dispositif de ce jugement et, statuant à nouveau sur ce point : Condamne C______ à verser à A______, 3'000 fr. par mois et d’avance, dès le 1 er août 2017, à titre de contribution à son entretien. Confirme le jugement attaqué pour le surplus. Déboute les parties de toutes autres conclusions. Sur les frais : Arrête les frais judiciaires d'appel à 800 fr., les met à la charge des parties par moitié chacune et les compense avec l'avance de frais du même montant fournie par A______, qui demeure acquise à l'Etat de Genève. Condamne C______ à rembourser à A______ la somme de 400 fr. au titre de frais judiciaires d’appel. Dit que chaque partie supporte ses propres dépens d'appel. Siégeant : Madame Ursula ZEHETBAUER GHAVAMI, présidente; Monsieur Ivo BUETTI, Madame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7</w:t>
      </w:r>
    </w:p>
    <w:p>
      <w:r>
        <w:t>décembre 2011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