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C/3788/2016 vom 26. Juli 2018</w:t>
      </w:r>
    </w:p>
    <w:p>
      <w:r>
        <w:t>GE Cour de justice, 2018-07-26, FR</w:t>
      </w:r>
    </w:p>
    <w:p>
      <w:r>
        <w:rPr>
          <w:b/>
        </w:rPr>
        <w:t xml:space="preserve">Quelle: </w:t>
      </w:r>
      <w:r>
        <w:t>https://mcp.opencaselaw.ch/entscheid/ge_gerichte_C_3788_2016</w:t>
      </w:r>
    </w:p>
    <w:p>
      <w:r>
        <w:t>FR: GE_GERICHTE C/3788/2016 du 26 juillet 2018</w:t>
      </w:r>
    </w:p>
    <w:p>
      <w:r>
        <w:t>IT: GE_GERICHTE C/3788/2016 del 26 luglio 2018</w:t>
      </w:r>
    </w:p>
    <w:p>
      <w:pPr>
        <w:pStyle w:val="Heading2"/>
      </w:pPr>
      <w:r>
        <w:t>Regeste</w:t>
      </w:r>
    </w:p>
    <w:p>
      <w:r>
        <w:t>MODIFICATION DES CIRCONSTANCES ; OBLIGATION D'ENTRETIEN ; ENFANT ; MAJORITÉ(ÂGE) | CC.286.al2; CC.285; CC.133; CC.276; CC.134.al2</w:t>
      </w:r>
    </w:p>
    <w:p>
      <w:pPr>
        <w:pStyle w:val="Heading2"/>
      </w:pPr>
      <w:r>
        <w:t>Volltext</w:t>
      </w:r>
    </w:p>
    <w:p>
      <w:r>
        <w:t>Genf Cour de Justice (Cour civile) Chambre civile 26.07.2018 C/3788/2016 Genève Cour de Justice (Cour civile) Chambre civile 26.07.2018 C/3788/2016 Ginevra Cour de Justice (Cour civile) Chambre civile 26.07.2018 C/3788/2016</w:t>
      </w:r>
    </w:p>
    <w:p>
      <w:r>
        <w:t>MODIFICATION DES CIRCONSTANCES ; OBLIGATION D'ENTRETIEN ; ENFANT ; MAJORITÉ(ÂGE) | CC.286.al2; CC.285; CC.133; CC.276; CC.134.al2</w:t>
      </w:r>
    </w:p>
    <w:p>
      <w:r>
        <w:t>C/3788/2016 ACJC/1043/2018 du 26.07.2018 sur JTPI/8563/2017 ( OO ) , CONFIRME Descripteurs : MODIFICATION DES CIRCONSTANCES ; OBLIGATION D'ENTRETIEN ; ENFANT ; MAJORITÉ(ÂGE) Normes : CC.286.al2; CC.285; CC.133; CC.276; CC.134.al2 En fait En droit Par ces motifs RÉPUBLIQUE ET CANTON DE GENÈVE POUVOIR JUDICIAIRE C/3788/2016 ACJC/1043/2018 ARRÊT DE LA COUR DE JUSTICE Chambre civile du JEUDI 26 JUILLET 2018 Entre Monsieur A______ , domicilié ______, appelant d'un jugement rendu par la 13ème Chambre du Tribunal de première instance de ce canton le 27 juin 2017, comparant par Me Stéphanie Francisoz Guimaraes, avocate, boulevard des Philosophes 9, 1205 Genève, en l'étude de laquelle il fait élection de domicile, et Madame B______ , domiciliée ______, intimée, comparant par Me Mélanie Mathys Donzé, avocate, boulevard de Saint-Georges 72, 1205 Genève, en l'étude de laquelle elle fait élection de domicile. EN FAIT A. Par jugement JTPI/8563/2017 du 27 juin 2017, le Tribunal de première instance a débouté A______ des fins de sa demande en modification du jugement de divorce (ch. 1 du dispositif), arrêté les frais judiciaires à 1'000 fr., répartis par moitié entre les parties et laissés à la charge de l’Etat de Genève sous réserve d’une décision de l’assistance juridique (ch. 2), dit qu’il n’était pas alloué de dépens (ch. 3) et débouté les parties de toutes autres conclusions (ch. 4). En substance, le premier juge a considéré qu'en dépit des faits nouveaux importants et durables survenus dans la situation des parties (remariage de l'ex-époux, concubinage de l'ex-épouse, dégradation de la situation financière des parties), la charge d'entretien de l'enfant mineur n'était pas devenue déséquilibrée entre les deux parents dès lors qu'un revenu hypothétique de 3'200 fr., devait être imputé à A______, de sorte qu'une modification du montant de la contribution d'entretien ne se justifiait pas. Le revenu hypothétique fixé correspondait à une activité ne nécessitant aucune formation particulière, dans les secteurs de la vente, de l'hôtellerie, de la restauration ou du nettoyage. A______, lorsqu'il s'était retrouvé au chômage, à l'âge de 42 ans, avait limité ses recherches d'emploi à des postes qualifiés, dans son domaine de compétence essentiellement, auprès d'employeurs basés à Fribourg, dans le Canton de Vaud ou en Suisse allemande, sans élargir ses recherches à des emplois peu qualifiés, y compris dans le Canton de Genève, alors qu'il avait des obligations envers son fils mineur. B. a. Par acte déposé au greffe de la Cour de justice le 29 août 2017, A______ appelle de cette décision - qu’il a reçue le 28 juin 2017 -, dont il sollicite l’annulation. Il conclut à la modification du chiffre 4 du dispositif du jugement de divorce, en ce sens qu’il ne devra plus de contribution d’entretien à son fils C______. Il produit plusieurs pièces nouvelles. b. Dans sa réponse, B______ conclut au rejet de l’appel et à la confirmation de la décision entreprise, avec suite de frais judiciaires. Elle a produit deux pièces nouvelles. c. A______ a répliqué, persistant dans ses conclusions. d. B______ a renoncé à dupliquer. e. Par courrier du 8 juillet 2018, l'enfant C______, devenu majeur en cours de procédure d'appel a confirmé soutenir les conclusions de sa mère en maintien de la contribution d'entretien fixée en sa faveur par le premier juge. f. Par plis du 12 juillet 2018, le greffe de la Cour de justice a avisé les parties de ce que la cause était gardée à juger. C. Les faits pertinents suivants résultent de la procédure : a. B______, née ______ le ______ 1973, et A______, né le ______ 1967, tous deux originaires de ______, ont contracté mariage au ______ le ______ 1993. Deux enfants sont issus de cette union, E______, né le ______ 1994, et C______, né le ______ 1999. b. Les parties se sont séparées en juin 2005. Les modalités de leur vie séparée ont été réglées par jugement de mesures protectrices de l’union conjugale du 7 septembre 2005, lequel a notamment condamné le père à verser à la mère (détentrice du droit de garde sur les deux enfants), par mois et d'avance, allocations familiales non comprises, la somme de 1'884 fr. à titre de contribution à l'entretien de la famille. Dans ce jugement, le Tribunal a retenu que l'épouse réalisait un salaire net mensualisé de 3'553 fr. et assumait des charges de 4'393 fr. par mois, qui comprenaient celles des enfants. De son côté, le père percevait un salaire mensuel net de 5'494 fr. et assumait des charges de 2'994 fr. par mois. c. Le 21 avril 2008, A______ a introduit une requête unilatérale de divorce auprès du Tribunal. Par jugement JTPI/5700/2009 du 14 mai 2009, le Tribunal a prononcé le divorce des époux et entériné leur accord complet sur les effets accessoires du divorce, conclu lors de l'audience du 18 février 2009. L’autorité parentale et la garde sur les enfants ont été attribuées à la mère, un large droit de visite a été réservé au père, il a été donné acte au père de son engagement à verser à la mère, par mois, d’avance et par enfant, allocations familiales non comprises, les sommes de 450 fr. jusqu’à l’âge de 10 ans, 550 fr, jusqu’à l’âge de 15 ans et 750 fr. jusqu’à la majorité, voire au-delà mais jusqu’à 25 ans au plus en cas d'études sérieuses et régulièrement suivies, et il lui a été donné acte de son engagement à participer pour moitié aux frais orthodontiques nécessaires pour chacun des enfants. Ce jugement ne contient aucune indication quant à la situation financière des parties au moment du divorce. Il ressort toutefois du procès-verbal de l'audience du 18 février 2009 que A______ émargeait au chômage et percevait des indemnités mensuelles moyennes nettes d'environ 4'200 fr. par mois. Quant à B______, qui vivait seule avec les enfants, sa situation personnelle et financière ne s'était pas modifiée, à part son salaire qui avait augmenté de 50 fr. par mois depuis le prononcé des mesures protectrices et sa prime d'assurance-maladie qui avait augmenté d'autant. D. a.a. Par acte du 23 février 2016, A______ a saisi le Tribunal d’une requête en modification du jugement de divorce, concluant à la suppression de la contribution d’entretien en faveur de son fils C______, à compter du dépôt de la demande. Il a exposé que sa situation financière s’était sensiblement détériorée depuis le prononcé du divorce, puisqu'il émargeait à l’Hospice général depuis le mois de janvier 2012, après avoir épuisé son droit aux prestations du chômage en 2011. a.b. B______ a conclu au rejet de la demande. b. Par acte du 23 février 2016, A______ a également agi en suppression de la contribution d’entretien de l'enfant alors déjà majeur du couple, E______, par une procédure distincte. E. La situation personnelle et financière des parties et de l'enfant mineur s'établit comme suit : a. A______ s’est remarié avec F______, ressortissante ______, le ______ 2011. Le couple n’a pas eu d’enfants. A______ émarge à l'Hospice général depuis janvier 2012. Sa nouvelle épouse travaille comme garde d'enfants. Depuis mars 2017, elle perçoit un salaire net moyen de 850 fr. par mois, qui vient en déduction des prestations versées par l'Hospice général pour le couple. Auparavant, elle percevait un salaire net moyen de 1980 fr. par mois, qui venait également en déduction de l'aide sociale. Au total, le couple perçoit un montant moyen mensuel d'environ 3'500 fr. par mois. Les charges incompressibles de A______, telles que fixées par le Tribunal et non contestées en appel, se montent à 1'866 fr. 90, comprenant l'entretien de base OP (la moitié de 1'700 fr. compte tenu de la communauté de vie formée avec sa nouvelle épouse), le loyer, allocation au logement déduite (la moitié de 1'277 fr. compte tenu des économies engendrées par la communauté domestique), la prime d'assurance-maladie, subside déduit (308 fr. 40) et les frais de transport (70 fr.). b. B______ a quitté la Suisse au début de l'année 2017 pour s'installer à G______ (Etats-Unis) avec son nouveau compagnon, H______, qui assume seul les charges du couple, notamment le loyer mensuel de USD 2'240. Le couple continue par ailleurs de payer ses primes d'assurance-maladie en Suisse. En 2016, le salaire net du concubin s'est élevé à 14'077 fr. 25, hors allocations pour frais de représentation et de déplacement. Du 1er novembre 2014 au 31 décembre 2016, date à laquelle elle a démissionné, B______ a travaillé à plein temps comme ______ pour un salaire mensuel net de 2'922 fr. 10. Ses charges incompressibles, telles qu'arrêtées par le premier juge et non contestées en appel, comprennent l'entretien de base OP (la moitié de 1'700 fr.), le loyer (la moitié de 1'000 fr.), la prime d'assurance-maladie, subside déduit (221 fr. 95) et les frais de transport, participation de l'employeur déduite (57 fr. 70). B______ allègue s'acquitter en sus de frais médicaux non remboursés de 184 fr. par mois, poste contesté par son ex-époux. c. C______, devenu majeur le ______ 2017, a été pris en charge et hébergé gratuitement par sa tante paternelle pendant les six premiers mois de l'année 2017. En été 2017, il a rejoint sa mère à G______, lieu où il poursuit sa scolarité. Le Tribunal a estimé, sans être contredit sur ce point, ses besoins mensuels à 687 fr. 60, hors frais de logement. Ceux-ci comprennent l'entretien de base OP (600 fr.), les frais médicaux non couverts (24 fr.), les frais de transport (45 fr.) et les cours d'anglais (18 fr. 60). La prime d'assurance-maladie est entièrement absorbée par le subside étatique. Les allocations d'études se montent à 400 fr. EN DROIT 1. 1.1 L'appel est recevable pour avoir été interjeté auprès de l'autorité compétente (art. 120 al. 1 let. a LOJ), dans le délai de 30 jours et suivant la forme prescrite par la loi (art. 130 al. 1, 142 al. 1, 145 al. 1 let. b et 311 CPC), à l'encontre d'une décision finale de première instance, rendue dans une cause de nature pécuniaire qui statue sur des conclusions dont la valeur litigieuse, compte tenu de l'ensemble des prétentions demeurées litigieuses en première instance, est supérieure à 10'000 fr. (art. 91 al. 1, 92 al. 2 et 308 al. 1 let. a et al. 2 CPC). 1.2 La Cour revoit la cause avec un plein pouvoir d'examen en fait et en droit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 2. A juste titre, les parties ne contestent pas la compétence des tribunaux genevois pour connaître de la demande (art. 59, 63 al. 1 et 64 al. 1 LDIP), ni l'application du droit suisse (art. 61 al. 1 et 64 al. 2 LDIP; art. 4 al. 1 de la Convention de La Haye du 2 octobre 1973 sur la loi applicable aux obligations alimentaires) compte tenu du fait qu'elles étaient domiciliées à Genève au moment du dépôt de la demande, de même que l'enfant alors mineur. 3. Les parties ont produit plusieurs pièces nouvelles à l'appui de leurs écritures de seconde instance.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(arrêt du Tribunal fédéral 5A_788/2017 du 2 juillet 2018 consid. 4.2.1 destiné à la publication; ACJC/244/2015 du 6 mars 2015 consid. 3.3.1; ACJC/976/2014 du 15 août 2014 consid. 1.3; ACJC/963/2014 du 6 août 2014 consid. 3.1; ACJC/480/2014 du 11 avril 2014 consid. 1.4). 3.2 En l'espèce, la cause portant sur l'entretien dû à un enfant mineur, devenu majeur en cours de procédure d'appel, les pièces nouvelles produites par les parties à l'appui de leurs diverses écritures devant la Cour sont recevables indépendamment de la question de savoir si leur production aurait pu et dû intervenir devant le premier juge, conformément aux principes rappelés ci-dessus. Il en va de même des allégués de fait s'y rapportant. 4. L'appelant reproche au premier juge d'avoir considéré que la charge d'entretien n'était pas déséquilibrée entre les deux parents sans avoir examiné, au préalable, la nouvelle situation financière de l'intimée, notamment s'il convenait de lui imputer un revenu hypothétique. 4.1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dans la situation du débirentier ou dans celle du parent gardien, qui commandent une réglementation différente. La procédure de modification n'a pas pour but de corriger le premier jugement, mais de l'adapter aux circonstances nouvelles (ATF 137 III 604 consid. 4.1.1; 120 II 177 consid. 3a; arrêt du Tribunal fédéral 5A_487/2010 du 3 mars 2011 consid. 2.1). Le fait revêt un caractère nouveau lorsqu'il n'a pas été pris en considération pour fixer la contribution d'entretien dans le jugement de divorce. Ce qui est déterminant n'est pas la prévisibilité des circonstances nouvelles, mais exclusivement le fait que la contribution d'entretien a été fixée sans tenir compte de ces circonstances futures (ATF 141 III 376 consid. 3.3.1; 131 III 189 consid. 2.7.4; 128 III 305 consid. 5b; arrêts du Tribunal fédéral 5A_677/2016 du 16 février 2017 consid. 2.1.1; 5A_842/2015 du 26 mai 2016 consid 2.4.1).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5A_260/2016 du 14 octobre 2016 consid. 2.1.1; 5A_224/2016 du 13 juin 2016 consid. 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5A_7/2016 du 15 juin 2016 consid. 5.3; 5A_487/2010 du 3 mars 2011 consid. 2.3). 4.2.1 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auquel renvoie l'art. 133 al. 1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[cité: Message], FF 2014 p. 511 ss, p. 570). 4.2.2 Pour fixer la contribution d'entretien, le juge doit en principe tenir compte du revenu effectif des parties, tant le débiteur d'entretien que le créancier pouvant néanmoins se voir imputer un revenu hypothétique supérieur (ATF 137 III 102 consid. 4.2.2.2; 128 III 4 consid. 4a). La charge de l'entretien de l'enfant doit être répartie en fonction des ressources de chacun des parents.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SJ 2007 II 77, p. 81).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4.2.3 L'obligation d'entretien trouve sa limite dans la capacité contributive du débirentier, en ce sens que le minimum vital de celui-ci doit être préservé (ATF 135 III 66 consid. 2; arrêt du Tribunal fédéral 5A_662/2013 du 24 juin 2014 consid. 3.2.1). 4.3 En l’espèce, la situation personnelle et financière de l'appelant s'est modifiée depuis le prononcé du divorce, puisque celui-ci s'est remarié en 2011 et qu'il émarge à l'aide sociale depuis janvier 2012. Ainsi, alors qu'en 2009, lors du prononcé du jugement de divorce, ses revenus s'élevaient à environ 4'200 fr. par mois, les ressources du nouveau ménage qu'il forme avec sa nouvelle épouse ne se montent plus qu'à environ 3'500 fr. Compte tenu de la différence de capacité contributive de l’appelant, à savoir à tout le moins 700 fr. par mois, le changement doit être qualifié d'important. En outre, cette nouvelle situation perdure depuis plusieurs années, de sorte qu'elle doit être considérée comme durable. Ces faits nouveaux importants et durables justifient à eux-seuls qu’il soit entré en matière sur la requête en modification de l’appelant, sans qu'il soit nécessaire d'examiner les autres changements invoqués, notamment ceux intervenus dans la situation personnelle et financière de l'intimée. Conformément aux principes jurisprudentiels précités, une modification ne se justifie toutefois que lorsque les faits nouveaux entraînent un déséquilibre s'agissant de la charge financière que représente l'enfant pour chacune des parties et que la différence entre le montant de la contribution d’entretien nouvellement calculée sur la base de ces faits et celle initialement fixée est d’une ampleur suffisante. Or, en l'occurrence, compte tenu du revenu hypothétique imputé à l'appelant par le premier juge - lequel n'a pas été remis en cause en appel, ni dans son principe ni dans sa quotité -, l'appelant dispose, après couverture de ses charges incompressibles, d'un excédent mensuel semblable à celui de 2009, puisqu'il s'élève à environ 1'300 fr. (3'200 fr. de revenu hypothétique 1'866 fr. 90 de charges) alors qu'il se montait approximativement à 1'200 fr. en 2009 (4'200 fr. d'indemnités de chômage – 2'994 fr. de charges). En tant qu'il se prévaut des revenus perçus par le nouveau compagnon de l'intimée pour justifier de la disproportion existant dans la charge d'entretien que représente l'enfant pour les parties, l'appelant perd de vue que le devoir d'assistance du conjoint pour l'éducation des enfants issus d'une précédente union ou nés hors mariage est subsidiaire à celui du père biologique (art. 278 al. 2 CC; ATF 127 III 68 consid. 3). En outre, même à retenir que l'intimée aurait volontairement renoncé à ses revenus en mettant fin à son contrat de travail suisse afin de suivre son nouveau compagnon aux Etats-Unis, ce qui pourrait par hypothèse justifier de lui imputer, ainsi que le préconise l'appelant, un revenu hypothétique identique à celui qu'elle percevait avant son départ de Suisse, à savoir 2'900 fr., la charge d'entretien ne s'en trouverait pas déséquilibrée pour autant, au vu des circonstances prises en compte dans le jugement de divorce. En effet, en dépit de l'accession de l'enfant à la majorité, l'intimée continue de s'occuper de lui de manière prépondérante à G______ [Etats-Unis], de sorte qu'il ne se justifierait pas de mettre une partie des coûts de l'enfant à sa charge. Enfin, dans la mesure où l'appelant n'allègue pas que les coûts de l'enfant auraient diminué depuis le prononcé du divorce, ni même depuis son déménagement à G______ ou que l'enfant disposerait de revenus propres lui permettant d'assumer une partie de son entretien, il ne se justifie également pas de modifier le montant de la pension fixé d'accord entre les parties au moment du divorce. Au vu des considérations qui précèdent, il n'y a pas lieu d'instruire plus avant la situation financière effective des parents par la Cour de céans en application de l'art. 316 al. 3 CPC, ainsi que requis par l'appelant. Infondés, les griefs de l'appelant seront par conséquent rejetés et le jugement entrepris entièrement confirmé. 5. 5.1 Les frais judiciaires de la procédure d'appel seront arrêtés à 1'250 fr. (art. 95 al. 1 let. a et al. 2, 96, 104 al. 1 et 105 al. 1 CPC; art. 5, 30 et 35 RTFMC). Compte tenu de la nature familiale du litige, ils seront répartis à parts égales entre chacune des parties (art. 107 al. 1 let. c CPC). Les parties plaidant toutes deux au bénéfice de l'assistance judiciaire, les frais seront provisoirement laissés à la charge de l'Etat de Genève, lequel pourra en réclamer le remboursement ultérieurement aux conditions de l'art. 123 CPC. 5.2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29 août 2017 par A______ contre le jugement JTPI/8563/2017 rendu le 27 juin 2017 par le Tribunal de première instance dans la cause C/3788/2016-13. Au fond : Confirme ce jugement. Déboute les parties de toutes autres conclusions. Sur les frais : Arrête les frais judiciaires d’appel à 1'250 fr. et les met à la charge de A______ et de B______ à raison d'une moitié chacun. Dit qu'ils sont provisoirement supportés par l'Etat de Genève. Dit que chaque partie supporte ses propres dépens d'appel. Siégeant : Madame Jocelyne DEVILLE-CHAVANNE, présidente; Madame Nathalie LANDRY-BARTHE et Monsieur Cédric-Laurent MICHEL,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