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C/3786/2016 vom 24. Oktober 2016</w:t>
      </w:r>
    </w:p>
    <w:p>
      <w:r>
        <w:t>GE Cour de justice, 2016-10-24, FR</w:t>
      </w:r>
    </w:p>
    <w:p>
      <w:r>
        <w:rPr>
          <w:b/>
        </w:rPr>
        <w:t xml:space="preserve">Quelle: </w:t>
      </w:r>
      <w:r>
        <w:t>https://mcp.opencaselaw.ch/entscheid/ge_gerichte_C_3786_2016</w:t>
      </w:r>
    </w:p>
    <w:p>
      <w:r>
        <w:t>FR: GE_GERICHTE C/3786/2016 du 24 octobre 2016</w:t>
      </w:r>
    </w:p>
    <w:p>
      <w:r>
        <w:t>IT: GE_GERICHTE C/3786/2016 del 24 ottobre 2016</w:t>
      </w:r>
    </w:p>
    <w:p>
      <w:pPr>
        <w:pStyle w:val="Heading2"/>
      </w:pPr>
      <w:r>
        <w:t>Regeste</w:t>
      </w:r>
    </w:p>
    <w:p>
      <w:r>
        <w:t>BAIL À LOYER; MESURE PROVISIONNELLE; DÉFAUT DE LA CHOSE; CONSIGNATION EN JUSTICE; LOYER; RESTITUTION(EN GÉNÉRAL) | CPC.261; CO.259a; CO.18</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le montant dont la déconsignation est demandée est supérieur à 10'000 fr., de sorte que la voie de l'appel est ouverte.</w:t>
      </w:r>
    </w:p>
    <w:p>
      <w:r>
        <w:rPr>
          <w:b/>
        </w:rPr>
        <w:t>E. 1.2</w:t>
      </w:r>
    </w:p>
    <w:p>
      <w:r>
        <w:t>L'appel a été formé dans le délai de dix jours prévu en matière de procédure sommaire (art. 314 CPC) - applicable aux mesures provisionnelles (art. 248 let. d CPC) - et selon la forme requise (art. 130, 131, 311 al. 1 CPC). Il est en conséquence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w:t>
      </w:r>
    </w:p>
    <w:p>
      <w:r>
        <w:rPr>
          <w:b/>
        </w:rPr>
        <w:t>E. 2.2</w:t>
      </w:r>
    </w:p>
    <w:p>
      <w:r>
        <w:t>En l'espèce, seule la pièce 25, datée du 14 avril 2016 est recevable. Le courrier de l'organe de révision du 15 avril 2016 est en revanche irrecevable. En effet, bien qu'établi postérieurement à la date à laquelle la cause a été gardée à juger par le Tribunal, il aurait pu être obtenu et fourni déjà devant le Tribunal. Contrairement à ce que soutient l'appelant, il lui appartenait d'alléguer le fait qu'il contient déjà devant le premier juge, à l'appui des arguments relatifs au dommage irréparable qu'il prétend subir.</w:t>
      </w:r>
    </w:p>
    <w:p>
      <w:r>
        <w:rPr>
          <w:b/>
        </w:rPr>
        <w:t>E. 3</w:t>
      </w:r>
    </w:p>
    <w:p>
      <w:r>
        <w:t>L'appelant reproche au Tribunal d'avoir considéré que le bureau litigieux faisait partie du bail et qu'en conséquence la suppression de son accès constituait un défaut de la chose louée, ouvrant la voie de la consignation. Il soutient que le bureau n'ayant été mis à disposition de la locataire qu'à bien plaire, il s'agit d'un prêt à usage. Il fait également grief aux premiers juges de n'avoir pas retenu que la consignation de l'entier du loyer était disproportionnée au regard des prétentions en réduction de la locataire et d'avoir considéré qu'il ne subissait pas de dommage irréparable.</w:t>
      </w:r>
    </w:p>
    <w:p>
      <w:r>
        <w:rPr>
          <w:b/>
        </w:rPr>
        <w:t>E. 3.1.1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Code de procédure civile commenté, Bâle, 2011, n. 3 ad art. 261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w:t>
      </w:r>
    </w:p>
    <w:p>
      <w:r>
        <w:rPr>
          <w:b/>
        </w:rPr>
        <w:t>E. 3.1.2</w:t>
      </w:r>
    </w:p>
    <w:p>
      <w:r>
        <w:t>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 BOUVERAT, in Droit du bail à loyer, n. 1 ad art. 256 CO; LACHAT, Le bail à loyer, Lausanne 2008,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5e éd., 2011, n. 3 ad art. 256 CO). A défaut d'usage convenu, l'usage habituel est déterminant (MONTINI/BOUVERAT, op. cit., n. 31 ad art. 256 CO; HIGI, Commentaire zurichois, 4e éd., 1996, n. 13 ad art. 256 CO). La chose louée comprend aussi les installations communes (escaliers, hall d'entrée, etc.), l'accès à l'immeuble et autres terrains attenants. L'exigence d' "état approprié" concerne cet ensemble (arrêt 4C.527/1996 du 29 mai 1997 consid. 3a, in SJ 1997 661). Le défaut de la chose louée est une notion relative; son existence dépend des circonstances du cas concret; il convient de prendre en compte notamment la destination de l'objet loué, l'âge et le type de la construction, ainsi que le montant du loyer (tercier/favre/bugnon, Les contrats spéciaux, 4e éd. 2009, n. 2098; HIGI, op. cit., n. 28 ad art. 258 CO).</w:t>
      </w:r>
    </w:p>
    <w:p>
      <w:r>
        <w:rPr>
          <w:b/>
        </w:rPr>
        <w:t>E. 3.1.3</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(arrêt du Tribunal fédéral 4A_414/2015 du 17 décembre 2015 consid. 3.1 et 3.2).</w:t>
      </w:r>
    </w:p>
    <w:p>
      <w:r>
        <w:rPr>
          <w:b/>
        </w:rPr>
        <w:t>E. 3.1.4</w:t>
      </w:r>
    </w:p>
    <w:p>
      <w:r>
        <w:t>Lorsque la cession par contrat de l'usage d'une chose est opérée sans aucune contre-prestation - c'est-à-dire à titre gratuit -, les parties concernées sont soumises aux règles du prêt à usage des art. 305 ss CO, et non pas à celles régissant le bail (schärer/maurenbrecher, in Commentaire bâlois, Obligationenrecht, vol. I, 4e éd. 2007, n. 3 ad art. 305 CO; tercier/favre, op. cit., ch. 1969 p. 290).</w:t>
      </w:r>
    </w:p>
    <w:p>
      <w:r>
        <w:rPr>
          <w:b/>
        </w:rPr>
        <w:t>E. 3.1.5</w:t>
      </w:r>
    </w:p>
    <w:p>
      <w:r>
        <w:t>En matière de baux et loyers, la libération, en cours de procédure, de tout ou partie des loyers consignés, ou la limitation de la portée de la consignation opérée par le locataire peut être ordonnée (lachat, Procédure civile en matière de baux et loyers, 2011, p. 179).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 L'abus de droit ne saurait être invoqué, vu la volonté clairement exprimée par le législateur de permettre la consignation de tout le loyer (lachat, Le Bail à loyer, Lausanne, 2008, p. 278). 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201 ).</w:t>
      </w:r>
    </w:p>
    <w:p>
      <w:r>
        <w:rPr>
          <w:b/>
        </w:rPr>
        <w:t>E. 3.2.1</w:t>
      </w:r>
    </w:p>
    <w:p>
      <w:r>
        <w:t>La présente espèce est comparable à celle de l'arrêt du Tribunal fédéral 4A_414/2015 précité. Il est en effet établi, et admis par les parties, que la locataire a pu disposer, postérieurement à la signature de la convention d'exploitation et jusqu'en janvier 2015, d'une partie du bureau de 10,4 m², également occupé par le bailleur. Il ressort de la procédure que cet accès a été consenti "à bien plaire". Savoir ce que cette notion recouvrait est affaire d'interprétation. Sous l'angle de la vraisemblance, il apparaît qu'après avoir signé la convention d'exploitation en juin 2007, laquelle ne comprenait pas le bureau litigieux, les parties sont tombées d'accord sur le fait que la locataire pouvait disposer de l'usage partiel de ce bureau, sans augmentation du loyer, au demeurant déjà conséquent. A bien plaire n'emportait pas le droit pour le bailleur à tout moment de retirer l'usage du bureau à son gré et sans réduction du loyer. Il y a ainsi eu, par actes concluants, extension de l'objet du bail sans modification du loyer et non prêt à usage comme tente de le soutenir en vain l'appelant. La durée pendant laquelle la locataire a pu disposer de ce bureau corrobore l'interprétation qui précède. Il en découle qu'il est vraisemblable que la suppression de l'accès à ce bureau constitue un défaut, ouvrant le droit à la consignation. Le fait que la surface du bureau ne représente qu'un tout petit pourcentage de la surface mise à disposition ne suffit pas à exclure l'existence du défaut. En effet, son usage était important pour la locataire, lui permettant d'accomplir au calme les tâches administratives relatives à son exploitation. Sous cet angle, la suppression de cet avantage constitue bien un défaut. L'action au fond intentée par l'intimée n'est prima facie pas dépourvue de chances de succès. C'est ainsi à bon droit que le Tribunal a jugé que les conditions à l'octroi d'une mesure provisionnelle étaient réalisées sous cet angle.</w:t>
      </w:r>
    </w:p>
    <w:p>
      <w:r>
        <w:rPr>
          <w:b/>
        </w:rPr>
        <w:t>E. 3.2.2</w:t>
      </w:r>
    </w:p>
    <w:p>
      <w:r>
        <w:t>La locataire a conclu à une réduction de loyer de 20% tant qu'elle n'aura pas à nouveau accès au bureau. A juste titre, le Tribunal n'a pas retenu que la consignation de l'entier du loyer rendait la mesure de consignation disproportionnée. Admettre le contraire reviendrait à priver la locataire du moyen de pression que constitue cette institution. De plus, en comparant l'intérêt de la locataire à pouvoir disposer de l'usage partiel du bureau et celui du bailleur d'y avoir un accès exclusif, la mesure ne paraît pas disproportionnée.</w:t>
      </w:r>
    </w:p>
    <w:p>
      <w:r>
        <w:rPr>
          <w:b/>
        </w:rPr>
        <w:t>E. 3.2.3</w:t>
      </w:r>
    </w:p>
    <w:p>
      <w:r>
        <w:t>S'agissant du dommage irréparable allégué par l'appelant, le Tribunal a justement considéré que celui-ci n'avait pas été rendu vraisemblable. En effet, le loyer payé annuellement par la locataire en 84'000 fr. ne constitue qu'une petite part des produits perçus, constitués majoritairement des cotisations des membres, des recettes des inscriptions aux cours de voile et aux régates, et des dons et autres sponsoring. Ces produits, hors loyer versé par l'intimée, permettent à l'appelant de faire face à ses charges courantes, hors amortissement. Dès lors, les problèmes de liquidités allégués en relation avec le dommage irréparable ne sont pas rendus vraisemblables. L'appel doit dès lors être rejeté et l'ordonnance querellée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avril 2016 par A.______ contre l'ordonnance JTBL/321/2016 rendue le 7 avril 2016 par le Tribunal des baux et loyers dans la cause C/3786/2016-4 SP. Au fond : Confirme cette ordonnance.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