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C/3727/2024 vom 19. Februar 2024</w:t>
      </w:r>
    </w:p>
    <w:p>
      <w:r>
        <w:t>GE Cour de justice, 2024-02-19, FR</w:t>
      </w:r>
    </w:p>
    <w:p>
      <w:r>
        <w:rPr>
          <w:b/>
        </w:rPr>
        <w:t xml:space="preserve">Quelle: </w:t>
      </w:r>
      <w:r>
        <w:t>https://mcp.opencaselaw.ch/entscheid/ge_gerichte_C_3727_2024</w:t>
      </w:r>
    </w:p>
    <w:p>
      <w:r>
        <w:t>FR: GE_GERICHTE C/3727/2024 du 19 février 2024</w:t>
      </w:r>
    </w:p>
    <w:p>
      <w:r>
        <w:t>IT: GE_GERICHTE C/3727/2024 del 19 febbraio 2024</w:t>
      </w:r>
    </w:p>
    <w:p>
      <w:pPr>
        <w:pStyle w:val="Heading2"/>
      </w:pPr>
      <w:r>
        <w:t>Erwägungen</w:t>
      </w:r>
    </w:p>
    <w:p>
      <w:r>
        <w:rPr>
          <w:b/>
        </w:rPr>
        <w:t>E. 39</w:t>
      </w:r>
    </w:p>
    <w:p>
      <w:r>
        <w:t>II 205 , JdT 1914 I 77; ATF 102 II 206 ); Que selon l'art. 961 al. 3 CC, le juge statue - en procédure sommaire (art. 249 let. d ch. 5 CPC) - sur la requête et autorise l'inscription provisoire si le droit allégué lui paraît exister; que vu la brièveté et la nature péremptoire du délai de l'art. 839 al. 2 CC, l'inscription provisoire de l'hypothèque légale ne peut être refusée que si l'existence du droit à l'inscription définitive du droit de gage paraît exclue ou hautement invraisemblable (arrêts du Tribunal fédéral 5A_420/2014 précité consid. 3.2; 5D_116/2014 du 13 octobre 2014 consid. 5.3 et la jurisprudence citée); Qu'en l'espèce, la partie appelante a rendu vraisemblable avoir conclu avec C______ SA un contrat d'entreprise portant sur des travaux d'électricité à réaliser sur la parcelle propriété de l'intimée, dans le cadre du projet de construction de douze logements groupés, pour une somme totale de 204'000 fr.; qu'il est également vraisemblable qu'elle a sous-traité une partie des travaux qui lui avaient été confiés à E______ SARL dès le mois de juin 2023, laquelle lui a adressé une facture de 25'524 fr. 90 pour le travail effectué; Qu'il est vraisemblable que l'appelante a réalisé, jusqu'au moment du retrait du chantier le 2 novembre 2023, une partie des travaux confiés, pour un montant HT de 123'119 fr., correspondant à sa dernière demande d'acompte du 12 septembre 2023, auquel il convient d'ajouter la somme de 25'524 fr. 90 dont elle est redevable à l'égard de la société sous-traitante; que sur ce dernier point, il ne peut être exclu que les travaux ainsi facturés ont été commandés par le Maître de l'ouvrage, en sus de ceux prévus dans le contrat d'octobre 2022; Que dans la mesure où l'appelante allègue que le Maître de l'ouvrage lui a déjà payé 79'353 fr. 75 au total, le dernier versement datant du 3 octobre 2023, il ne peut à ce stade, sur mesures superprovisionnelles, être exclu ou tenu pour hautement invraisemblable qu'elle dispose encore d'une créance de 65'510 fr. 39 (119'339 fr. 24 [123'119 fr. dont à déduire 10% de retenue garantie, plus 7,7% de TVA] + 25'524 fr. 90 = 144'864 fr. 14 - 79'353 fr. 75); Qu'il n'est pas rendu vraisemblable que l'appelante a effectué des travaux pour un montant supérieur; que la somme qu'elle réclame en sus correspond selon toute vraisemblance à la différence entre le prix forfaitaire total convenu et ce qu'elle a facturé et réalisé; Qu'à défaut de prononcer les mesures superprovisionnelles requises dans la mesure susmentionnée, la partie appelante risque de subir un préjudice irréparable, compte tenu du délai de péremption de 4 mois pour procéder à l'inscription provisoire de l'hypothèque légale; Que la condition de l'urgence est ainsi également réalisée; Que ces mesures seront dès lors ordonnées à concurrence de 65'510 fr. 39, plus intérêts à 5% dès le 2 novembre 2023 et l'appel admis dans cette mesure; Que la cause sera retournée au Tribunal pour qu'il statue sur mesures provisionnelles, après audition des parties; Que la répartition des frais de la présente décision, arrêtés à 500 fr., sera déléguée au Tribunal pour qu'il statue avec la décision à rendre sur mesures provisionnelles (art. 104 al. 4 CPC). * * * * * PAR CES MOTIFS, La Chambre civile : A la forme : Déclare recevable l’appel interjeté par A______ SARL contre l'ordonnance OTPI/128/2024 rendue le 19 février 2024 par le Tribunal de première instance dans la cause C/3727/2024 SP. Statuant sur mesures superprovisionnelles : Ordonne au Conservateur du Registre foncier de procéder à son profit à l'inscription provisoire d'une hypothèque légale des artisans et entrepreneurs d'un montant de 65'510 fr. 40 avec intérêts à 5% dès le 2 novembre 2023, grevant le bien-fonds n° 1______ sis chemin 2______ no. ______, [code postal] D______, dont B______ SA est propriétaire. Renvoie la cause au Tribunal de première instance pour instruction et décision sur mesures provisionnelles. Sur les frais : Arrête les frais de la présente décision à 500 fr. et délègue leur répartition au Tribunal pour qu'il statue avec la décision à rendre sur mesures provisionnelles. Siégeant : Madame Pauline ERARD, présidente; Monsieur Laurent RIEBEN, Monsieur Jean REYMOND; Madame Laura SESSA, greffière. La présidente : Pauline ERARD La greffière : Laura SESSA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