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C/3559/2021 vom 26. Mai 2023</w:t>
      </w:r>
    </w:p>
    <w:p>
      <w:r>
        <w:t>GE Cour de justice, 2023-05-26, FR</w:t>
      </w:r>
    </w:p>
    <w:p>
      <w:r>
        <w:rPr>
          <w:b/>
        </w:rPr>
        <w:t xml:space="preserve">Quelle: </w:t>
      </w:r>
      <w:r>
        <w:t>https://mcp.opencaselaw.ch/entscheid/ge_gerichte_C_3559_2021</w:t>
      </w:r>
    </w:p>
    <w:p>
      <w:r>
        <w:t>FR: GE_GERICHTE C/3559/2021 du 26 mai 2023</w:t>
      </w:r>
    </w:p>
    <w:p>
      <w:r>
        <w:t>IT: GE_GERICHTE C/3559/2021 del 26 maggio 2023</w:t>
      </w:r>
    </w:p>
    <w:p>
      <w:pPr>
        <w:pStyle w:val="Heading2"/>
      </w:pPr>
      <w:r>
        <w:t>Regeste</w:t>
      </w:r>
    </w:p>
    <w:p>
      <w:r>
        <w:t>CC.286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CPC).![endif]&gt;![if&gt; Le litige portait, au dernier état des conclusions en première instance, notamment sur l'attribution des droits parentaux et la contribution d'entretien, soit sur une affaire non pécuniaire dans son ensemble, de sorte que la voie de l'appel est ouverte indépendamment de la valeur litigieuse (arrêt du Tribunal fédéral 5A_611/2019 du 29 avril 2020 consid. 1).</w:t>
      </w:r>
    </w:p>
    <w:p>
      <w:r>
        <w:rPr>
          <w:b/>
        </w:rPr>
        <w:t>E. 1.2</w:t>
      </w:r>
    </w:p>
    <w:p>
      <w:r>
        <w:t>L'appel a été interjeté dans le délai de trente jours (art. 311 al. 1 CPC) et suivant la forme prescrite par la loi (art. 130, 131, 311 al. 1 CPC). Il est ainsi recevable. L'appel joint a été formé simultanément à la réponse sur appel principal. Il est donc recevable (art. 313 al. 1 CPC). Il en va de même des déterminations déposées successivement par les parties.</w:t>
      </w:r>
    </w:p>
    <w:p>
      <w:r>
        <w:rPr>
          <w:b/>
        </w:rPr>
        <w:t>E. 1.3</w:t>
      </w:r>
    </w:p>
    <w:p>
      <w:r>
        <w:t>La Cour revoit la cause en fait et en droit avec un plein pouvoir d'examen (art. 310 CPC).</w:t>
      </w:r>
    </w:p>
    <w:p>
      <w:r>
        <w:rPr>
          <w:b/>
        </w:rPr>
        <w:t>E. 1.4</w:t>
      </w:r>
    </w:p>
    <w:p>
      <w:r>
        <w:t>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 arrêt du Tribunal fédéral 5A_524/2017 du 9 octobre 2017 consid. 3.1). Toutefois, les parties ne sont pas dispensées de collaborer activement à la procédure et d'étayer leurs propres thèses en renseignant le juge sur les faits de la cause et en lui indiquant les moyens de preuve disponibles (ATF 130 III 102 consid. 2.2; arrêt du Tribunal fédéral 5A_170/2020 du 26 janvier 2021 consid. 5.3). En l'espèce, l'intimée n'explique pas la raison pour laquelle il y aurait lieu de modifier la clause d'indexation prévue dans le jugement de divorce et ainsi d'indexer la contribution d'entretien à l'indice genevois des prix à la consommation au lieu de l'indice suisse des prix à la consommation. Faute de motivation, ce grief est irrecevable.</w:t>
      </w:r>
    </w:p>
    <w:p>
      <w:r>
        <w:rPr>
          <w:b/>
        </w:rPr>
        <w:t>E. 1.5</w:t>
      </w:r>
    </w:p>
    <w:p>
      <w:r>
        <w:t>Par souci de simplification et pour respecter le rôle initial des parties devant la Cour, A______ sera ci-après désigné comme l'appelant et B______ comme l'intimée.</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produites par les parties sont susceptibles d'influencer la décision qui porte sur le montant de la contribution à l'entretien de leur enfant mineur, si bien qu'elles sont recevables, de même que les faits auxquels elles se rapportent.</w:t>
      </w:r>
    </w:p>
    <w:p>
      <w:r>
        <w:rPr>
          <w:b/>
        </w:rPr>
        <w:t>E. 3</w:t>
      </w:r>
    </w:p>
    <w:p>
      <w:r>
        <w:t>Le Tribunal a retenu que la situation financière de l'appelant s'était améliorée, ses revenus étant passés de 3'160 fr. 55 en 2014, pour une activité à 40%, à 3'745 fr. en moyenne pour une activité à 60%, bonus inclus, et probablement, depuis le 1 er mars 2022, à 4'600 fr. nets par mois pour une activité à 70%. En outre, les frais de l'enfant avaient augmenté puisque l'appelant n'exerçait pas régulièrement son droit de visite, ce qui justifiait d'entrer en matière sur la demande en modification de la contribution d'entretien fixée en faveur de l'enfant. L'appelant soutient que sa situation ne s'est pas améliorée de manière durable, son taux d'activité ayant diminué à 50% dès le 1 er août 2022. Par ailleurs, le seul fait que les charges de l'enfant aient augmenté ne suffit pas à entrer en matière sur la demande. 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6.1). Le moment déterminant pour apprécier si des circonstances nouvelles se sont produites est la date du dépôt de la demande de modification du jugement de divorce (ATF 137 III 604 consid. 4.1.1; arrêt du Tribunal fédéral 5A_230/2019 précité). Des contributions échelonnées selon des tranches d'âge ou selon des événements qui caractérisent des périodes de la vie peuvent être déterminées à l'avance. Si des événements supplémentaires font que l'évolution concrète des besoins de l'enfant s'écarte considérablement de ce qui est usuel, une modification selon l'art. 286 al. 2 CC peut être demandée (arrêt du Tribunal fédéral 5A_253/2016 du 24 novembre 2016 consid. 4.3). Une modification notable du droit de visite ou de la prise en charge par le parent gardien peut également répondre aux conditions posées par l'art. 286 al. 1 CC (Meier/Stettler, Droit de la filiation, 6 ème éd. 2019, n. 1450, p. 958-959). Tel est également le cas d'une amélioration notable de la situation du parent débiteur (Meier/Stettler, op. cit. , n. 1447, p. 956). 3.1.2 Dès lors que le Tribunal statue sur les questions relatives aux enfants sans être lié par les conclusions des parties (cf. consid. 1.4 supra ), une convention des époux sur le sort des enfants ne le lie pas, mais possède plutôt le caractère d'une conclusion commune, dont le Tribunal tient compte dans sa décision (ATF 143 III  361 consid. 7.3.1; arrêt du Tribunal fédéral 5A_1031/2019 du 26 juin 2020 consid. 2.2) et ce, même lorsqu'elle intervient sous la forme d'une convention de divorce (arrêt du Tribunal fédéral 5A_915/2018 du 15 mai 2019 consid. 3.3). En cas de demande de modification, il convient ainsi de distinguer les questions touchant les époux, soumises cas échéant à des mesures restrictives si les parties avaient conclu une convention (art. 279 CPC par analogie), des questions relatives aux enfants sur lesquelles le tribunal statue d'office (arrêt du Tribunal fédéral 5A_1031/2019 précité).</w:t>
      </w:r>
    </w:p>
    <w:p>
      <w:r>
        <w:rPr>
          <w:b/>
        </w:rPr>
        <w:t>E. 3.2</w:t>
      </w:r>
    </w:p>
    <w:p>
      <w:r>
        <w:t>En l'espèce, le Tribunal a considéré à juste titre que des faits nouveaux justifiaient d'entrer en matière sur la demande de modification du jugement de divorce. En effet, bien que des paliers à la contribution d'entretien en faveur de l'enfant aient été fixés au moment du divorce, les frais de l'enfant causée ont augmenté de manière plus importante que les paliers prévus dans le jugement de divorce en raison du fait que le l'appelant n'a pas exercé le droit de visite prévu par le jugement. Il ressort du dossier que l'appelant n'a pas vu son fils un week-end sur deux et la moitié des vacances scolaires comme convenu au moment du divorce. Cette différence constitue donc bien un élément notable et durable que les parties n'avaient pas prévu dans le jugement de divorce et qui justifie d'entrer en matière sur la demande de modification du jugement de divorce déposée par l'intimée. Les revenus de l'appelant ont en outre augmenté depuis le divorce puisque, à l'époque, celui-ci ne travaillait qu'à 40% pour un revenu net totalisant 1'624 fr. 10 par mois, auquel s'était ajouté en 2014 un remboursement partiel de dette de 18'437 fr. 20 versé par l'Office des poursuites, soit un montant ponctuel, que l'appelant n'était pas certain de percevoir chaque année. Au jour du dépôt de la demande de l'intimée en modification du jugement de divorce, il est établi que la situation financière des parties s'est améliorée puisque leur taux d'activité, en particulier celui de l'appelant a augmenté, passant de 40% à 50%; l'appelant a en outre perçu des bonus s'ajoutant à son salaire. Comme cela ressort du consid. 4.2.4 ci-dessous, les charge de l'appelant ont en outre diminué, puisqu'il vit désormais avec sa mère, laquelle est – selon ses propres allégués – autonome financièrement et participe au paiement de son loyer. Par conséquent, les circonstances ont changé de manière notable et durable, de sorte que le Tribunal est entré à bon droit en matière sur la demande de modification du jugement de divorce déposée par l'intimée. Le grief est infondé.</w:t>
      </w:r>
    </w:p>
    <w:p>
      <w:r>
        <w:rPr>
          <w:b/>
        </w:rPr>
        <w:t>E. 4</w:t>
      </w:r>
    </w:p>
    <w:p>
      <w:r>
        <w:t>Le Tribunal a modifié la contribution d'entretien fixée en faveur de l'enfant en retenant que l'appelant bénéficiait d'un solde disponible mensuel de 1'080 fr. jusqu'au 28 février 2022 et de 1'940 fr. dès le 1 er mars 2022, ce qui lui permettait de couvrir le minimum vital de l'enfant, lequel s'élevait à 1'050 fr. par mois, après déduction des allocations familiales. Il a toutefois refusé de partager l'excédent de l'appelant considérant que celui de l'intimée permettrait d'assumer la part revenant à l'enfant ainsi que la prise en charge des frais supplémentaires liés à l'absence de visite régulière exercée par l'appelant. L'appelant soutient que ses revenus ont été surévalués par le premier juge. En 2022, ceux-ci ne s'étaient élevés qu'à 3'312 fr. nets par mois en moyenne et ne s'élèvent, depuis le 1 er août 2022, qu'à 3'095 fr. 25 nets par mois. Ses charges avaient, quant à elles, été sous-estimées compte tenu de l'absence de participation de sa mère aux frais du ménage et d'une participation à son loyer, limitée à 1'000 fr. par mois. Il ne disposait ainsi que d'un solde de moins de 200 fr. par mois, de sorte que son minimum vital avait été atteint par la fixation de la contribution d'entretien en faveur de l'enfant à 1'050 fr. par mois. L'intimée reproche au premier juge de ne pas avoir constaté que la charge d'entretien de l'enfant était devenue excessivement lourde pour elle. Le Tribunal aurait dû imputer à l'appelant un revenu hypothétique puisqu'aucune raison objective ne justifiait qu'il ne soit employé qu'à temps partiel. Les charges de l'appelant avaient été surévaluées et les siennes, et celles de l'enfant, sous-estimées. Les frais supplémentaires liés au non-exercice fautif de son droit de visite auraient dû être imputés sur l'excédent de l'appelant.</w:t>
      </w:r>
    </w:p>
    <w:p>
      <w:r>
        <w:rPr>
          <w:b/>
        </w:rPr>
        <w:t>E. 4.1</w:t>
      </w:r>
    </w:p>
    <w:p>
      <w:r>
        <w:t>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5A_230/2019 précité).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5A_230/2019 précité). Pour que le juge puisse procéder à cette actualisation, il n'est pas nécessaire que la modification survenue dans ces autres éléments constitue également un fait nouveau (ATF 138 III 289 consid. 11.1.1; arrêt du Tribunal fédéral 5A_230/2019 précité). Une modification du jugement de divorce ne se justifie en outre que lorsque la différence entre le montant de la contribution d'entretien nouvellement calculée et celle initialement fixée est d'une ampleur suffisante (arrêt du Tribunal fédéral 5A_230/2019 précité).</w:t>
      </w:r>
    </w:p>
    <w:p>
      <w:r>
        <w:rPr>
          <w:b/>
        </w:rPr>
        <w:t>E. 4.1.1</w:t>
      </w:r>
    </w:p>
    <w:p>
      <w:r>
        <w:t>Dans trois arrêts publiés (ATF 147 III 265 in SJ 2021 I 316 et JdT 2022 II p. 347 ; 147 III 293 et 147 III 301 ), le Tribunal fédéral a posé, pour toute la Suisse, une méthode de calcul uniforme des contributions d'entretien du droit de la famille –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S'il reste un solde après couverture du minimum vital de droit de la famille des parents et des enfants mineurs, il sera alloué à l'entretien de l'enfant majeur. Si, après cela, il subsiste encore un excédent, il sera réparti en équité entre les ayants droit (soit les parents et les enfants mineurs; ATF 147 III 265 consid. 7, 7.2 et 7.3).</w:t>
      </w:r>
    </w:p>
    <w:p>
      <w:r>
        <w:rPr>
          <w:b/>
        </w:rPr>
        <w:t>E. 4.1.2</w:t>
      </w:r>
    </w:p>
    <w:p>
      <w:r>
        <w:t>Les besoins des parties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comprend, pour les parents, les postes suivants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7.1 et 7.2; arrêt du Tribunal fédéral 5A_329/2016 du 6 décembre 2016 consid. 4.1; Bastons Bulletti, L'entretien après le divorce : Méthodes de calcul, montant, durée et limites, in SJ 2007 II 77, p. 84 s. et 101 s.). Seules les charges effectives, dont le débirentier ou le crédirentier s'acquittent réellement doivent être prises en compte (ATF 140 III 337 consid. 4.2.3; arrêt du Tribunal fédéral 5A_405/2019 du 24 février 2020 consid. 5.2). Les obligations d'entretien du droit de la famille trouvent leur limite dans la capacité contributive du débirentier en ce sens que le minimum vital de celui-ci doit être préservé (ATF 135 III 66 consid. 2; arrêts du Tribunal fédéral 5A_450/2020 du 4 janvier 2021 consid. 5.3; 5A_329/2019 du 25 octobre 2019 consid. 3.3.1.1).</w:t>
      </w:r>
    </w:p>
    <w:p>
      <w:r>
        <w:rPr>
          <w:b/>
        </w:rPr>
        <w:t>E. 4.1.3</w:t>
      </w:r>
    </w:p>
    <w:p>
      <w:r>
        <w:t>Le montant de base mensuel fixé par les normes d'insaisissabilité s'élève à 1'200 fr. pour un débiteur vivant seul, 1'350 fr. pour un débiteur monoparental et 1'700 fr. pour un couple avec des enfants. En présence d'une colocation ou d'une communauté de vie réduisant les coûts, il convient d'appliquer le montant de base défini pour un couple marié et, en règle générale, de le réduire (au maximum) à la moitié (NI-2023 ch. I; ATF 130 III 765 consid. 2). Le Tribunal fédéral a ainsi jugé que pour un débiteur vivant chez ses parents, il n'était pas arbitraire de fixer le montant de base mensuel à 1'000 fr. (arrêt du Tribunal fédéral 5A_432/2011 du 20 septembre 2011 consid. 3.1 et 3.2 in fine publié in FamPra.ch 2012 p. 212).</w:t>
      </w:r>
    </w:p>
    <w:p>
      <w:r>
        <w:rPr>
          <w:b/>
        </w:rPr>
        <w:t>E. 4.1.4</w:t>
      </w:r>
    </w:p>
    <w:p>
      <w:r>
        <w:t>Selon l'article 286 al. 3 CC, le juge peut contraindre les parents à verser une contribution spéciale lorsque des besoins extraordinaires imprévus de l'enfant le requièrent. Cette disposition envisage le cas d'une contribution pour corrections dentaires ou pour des mesures scolaires particulières, de nature provisoire (Message du CF, FF 1996 I p.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au sens de l'article 286 al. 2 CC. Il est ainsi possible que le juge condamne, a posteriori , sur la base de l'article 286 al. 3 CC le parent qui n'aurait pas participé au paiement de frais extraordinaires des enfants lorsqu'ils sont établis. A contrario , il ne lui est pas possible de condamner une partie au paiement de frais extraordinaires futurs éventuels et purement hypothétiques (arrêts du Tribunal fédéral 5A_760/2016 ; 5C.240/2002 in Fampra.ch 2003 p. 432 et p. 731).</w:t>
      </w:r>
    </w:p>
    <w:p>
      <w:r>
        <w:rPr>
          <w:b/>
        </w:rPr>
        <w:t>E. 4.2</w:t>
      </w:r>
    </w:p>
    <w:p>
      <w:r>
        <w:t>En l'espèce, il y a lieu d'actualiser la situation financière des parties et de l'enfant à la lumière des griefs soulevés et de la jurisprudence précitée afin de déterminer si la différence entre le montant de la contribution d'entretien nouvellement calculée et celle initialement fixée est d'une ampleur suffisante pour justifier la modification du jugement de divorce.</w:t>
      </w:r>
    </w:p>
    <w:p>
      <w:r>
        <w:rPr>
          <w:b/>
        </w:rPr>
        <w:t>E. 4.2.1</w:t>
      </w:r>
    </w:p>
    <w:p>
      <w:r>
        <w:t>S'agissant des revenus de l'intimée, ceux-ci ne sont pas contestés et s'élèvent à 6'033 fr. nets par mois.</w:t>
      </w:r>
    </w:p>
    <w:p>
      <w:r>
        <w:rPr>
          <w:b/>
        </w:rPr>
        <w:t>E. 4.2.2</w:t>
      </w:r>
    </w:p>
    <w:p>
      <w:r>
        <w:t>Les revenus nets de l'appelant se sont élevés de 2018 à 2021 à 3'761 fr. par mois en moyenne, bonus inclus, pour une activité à 50%, et non à 60% comme retenu par erreur par le Tribunal. En 2022, son taux d'activité ayant été augmenté à 70% à compter du mois de mars, son revenu mensuel net a été porté à 3'615 fr. 50, hors bonus. A compter du 1 er août 2022 toutefois, l'employeur de l'appelant a réduit le taux d'activité de ce dernier à 50%, relevant qu'aucun bonus ne lui serait versé " d'ici fin 2022 ", ce en raison des " événements actuels en Russie ". Selon ses allégations, l'appelant aurait ainsi touché en 2022 un salaire mensuel net de 3'312 fr. par mois environ (7 mois à 3'095 fr. 25 et 5 mois à 3'615 fr. 50). L'appelant ne démontre cependant pas que cette diminution de salaire est durable. Il n'est en particulier pas établi que le bonus de l'appelant, qui lui a été régulièrement versé pendant ces dernières années, sera durablement supprimé. En premier lieu, la formule indiquant qu'aucun bonus ne sera versé " d'ici fin 2022 " est ambigüe; le bonus est en effet usuellement calculé en fin d'année, sur la base des résultats de l'année écoulée, et versé l'année suivante. La formule précitée n'exclut ainsi pas le versement d'un bonus en 2023, calculé sur la base des résultats 2022. L'on comprend d'ailleurs mal comment l'employeur de l'appelant pouvait, déjà en juin 2022, alors que l'année n'était pas terminée, se prononcer sur les résultats de celle-ci et l'appelant ne fournit aucune explication sur ce point. Il n'a en particulier pas produit son certificat de salaire pour l'année 2022. A cela s'ajoute que l'employeur de l'appelant a comme but social la fourniture de conseils en matière financière de manière générale, et non spécifiquement en lien avec la Russie. A supposer que les " événements actuels " mentionnés dans l'avenant au contrat signé en juin 2022 se révèlent durables (ce qui n'est pas établi) aucun élément concret du dossier ne permet de retenir que l'activité de l'appelant pour les années à venir ne pourra pas être adaptée de manière à générer un revenu équivalent à celui des années précédentes. L'appelant n'explique d'ailleurs pas quelle influence concrète lesdits événements auraient sur la marche des affaires de son employeur ou la sienne, ni, à supposer que ces événements perdurent, pour quelle raison des mesures ne pourront pas être prises à l'avenir pour pallier les inconvénients en résultant. Il résulte de ce qui précède que la suppression du bonus de l'appelant pour 2022 est un événement ponctuel et extraordinaire et n'entraîne pas une diminution de salaire durable au sens de la jurisprudence. La Cour retiendra dès lors que les revenus effectifs de l'appelant s'élèvent, à tout le moins, au montant du salaire qu'il percevait entre 2018 et 2021, à savoir 3'761 fr. par mois en moyenne. Il y a lieu de préciser ici qu'un revenu hypothétique complémentaire ne peut être imputé à l'appelant. En effet, au moment de la signature de la convention de divorce ratifiée par le juge, l'entretien convenable de l'enfant n'était pas couvert par la contribution d'entretien convenue entre les parties – ce qui impliquait une contribution financière de la part de l'intimée, en sus de l'entretien en nature qu'elle lui apportait – ce alors même que l'appelant ne travaillait qu'à 40% et que l'intimée assumait seule la garde de l'enfant. En effet, la contribution d'entretien initialement prévue de 300 fr. par mois ne couvrait pas l'intégralité des frais de l'enfant, puisque, même en ne tenant compte que du montant de base OP, à l'époque, de 400 fr. par mois et d'une participation au loyer de sa mère de 445 fr. (20% de 2'224 fr., à savoir le loyer du domicile actuel de l'appelant lequel avait été attribué selon le jugement de divorce à l'intimée), sous déduction des allocations familiales de 300 fr. par mois, les coûts de l'enfant s'élevaient au minimum à 575 fr. par mois, soit un montant supérieur au 300 fr. de contribution d'entretien convenus entre les parties pour l'entretien de l'enfant. Malgré cela, les parties n'avaient pas prévu que l'appelant augmente son taux d'activité. Il ne ressort en outre pas du dossier qu'il était empêché d'une quelconque manière de travailler à un taux d'activité supérieur à 40%. Partant, l'intimée ayant accepté cette situation à l'époque, elle ne peut exiger aujourd'hui, tant que l'entretien convenable de l'enfant est couvert par le solde disponible de l'un et/ou l'autre des parents, ce qui est le cas en l'espèce, que l'appelant augmente son taux d'activité.</w:t>
      </w:r>
    </w:p>
    <w:p>
      <w:r>
        <w:rPr>
          <w:b/>
        </w:rPr>
        <w:t>E. 4.2.3</w:t>
      </w:r>
    </w:p>
    <w:p>
      <w:r>
        <w:t>S'agissant des charges de l'intimée, elle ne démontre pas que ses frais de transport s'élèvent à 199 fr. par mois, le demi-tarif ne permettant pas de se déplacer mais uniquement de bénéficier d'un prix demi-tarif lors de l'achat d'un titre de transport. Par ailleurs, la seule mention manuscrite sur l'avis de débit ne permet pas de justifier du fait qu'il s'agit de l'achat d'un abonnement demi-tarif. Enfin, le prix d'un abonnement demi-tarif des CFF est de 185 fr. par année, ce qui ne correspond pas aux 199 fr. versés aux CFF selon l'avis de débit produit par l'intimée. Ainsi, la Cour ignore à quoi correspond réellement ce montant, aucune autre pièce du dossier ne permettant de le déterminer. Cela étant, par égalité de traitement avec l'appelant, il y a lieu de retenir des frais de transport de 70 fr. par mois correspondant à un abonnement TPG. Ainsi, les charges de l'intimée seront arrêtées à 3'221 fr. 80 par mois et comprennent, outre les frais de transport précités, le montant de base OP de 1'350 fr., la part de loyer de 1'254 fr. 40, la prime LAMal, subside déduit, de 420 fr. 40, ainsi que sa part de la charge fiscale, estimée à 127 fr. Son solde disponible mensuel s'élève ainsi, en chiffres arrondis, à 2'811 fr. (6'033 fr. – 3'221 fr. 80).</w:t>
      </w:r>
    </w:p>
    <w:p>
      <w:r>
        <w:rPr>
          <w:b/>
        </w:rPr>
        <w:t>E. 4.2.4</w:t>
      </w:r>
    </w:p>
    <w:p>
      <w:r>
        <w:t>Concernant les charges de l'appelant, il a lui-même allégué en première instance que son montant de base OP devait correspondre à la moitié du montant de base OP pour couple, soit 850 fr., compte tenu du fait qu'il vivait avec sa mère. En appel, nonobstant le fait qu'il réclame dorénavant le montant de base OP pour débiteur monoparental, soit 1'200 fr., il admet que sa mère perçoit des rentes qui lui permettant d'être indépendante financièrement. Partant, force est de constater que l'appelant a choisi de vivre en colocation avec sa mère, laquelle est en mesure de contribuer aux coûts de la communauté de vie qu'elle forme avec son fils. C'est donc bien la moitié du montant de base OP pour couple qu'il y a lieu de retenir. Le montant de 850 fr. à ce titre sera confirmé. L'appelant, qui a fourni des explications confuses et des pièces contradictoires, n'a pas établi que c'était à tort que le Tribunal avait considéré que sa mère participait à hauteur de 1'100 fr. par mois à son loyer. Ce montant est en effet celui qui ressort des pièces probantes les plus récentes. Un montant de 1'124 fr. par mois sera par conséquent retenu au titre de charge de loyer pour l'appelant. Compte tenu de la contribution d'entretien fixée et des revenus de l'appelant, la charge fiscale de celui-ci peut être estimée au moyen de la calculette disponible sur le site de l'Administration fiscale genevoise à 155 fr. par mois. Les charges de l'appelant, outre celles susmentionnées, totalisent ainsi 2'577 fr. 90 et comprennent encore ses primes LAMal, subside déduit, et LCA de 235 fr. 85 respectivement 143 fr. 05 ainsi que 70 fr. de frais de transport. Son solde disponible mensuel s'élève ainsi, en chiffres arrondis, à 1'183 fr. (3'761 fr. – 2'577 fr. 90).</w:t>
      </w:r>
    </w:p>
    <w:p>
      <w:r>
        <w:rPr>
          <w:b/>
        </w:rPr>
        <w:t>E. 4.2.5</w:t>
      </w:r>
    </w:p>
    <w:p>
      <w:r>
        <w:t>Concernant les charges de C______, c'est à juste titre que le Tribunal a écarté les frais d'orthodontie. Ceux-ci étant des frais extraordinaires qui ne sont pas récurrents, ils n'entrent pas dans l'entretien convenable de l'enfant. Ces frais doivent en revanche être financés au moyen d'une contribution extraordinaire de la part des parents. L'intimée a démontré que, pour la période du 22 avril 2021 au 26 septembre 2022, ces frais se sont élevés à 8'232 fr. 30, dont 7'767 fr. 10 ont été acquittés par elle-même. L'appelant sera dès lors condamné à rembourser à l'intimée la moitié du montant effectivement acquittés, soit 3'883 fr. 55. Il n'y a toutefois pas lieu de condamner l'appelant à assumer, de manière générale, tous les frais extraordinaires de l'enfant, la condamnation devant se limiter, au vu de la jurisprudence précitée, à des frais précis. S'agissant des frais relatifs aux activités extrascolaires et aux stages durant les vacances scolaires de C______, c'est à juste titre que le Tribunal n'en a pas tenu compte en précisant que ceux-ci devraient être couverts, cas échéant, par la part de l'enfant à l'excédent des parents. Partant, les charges mensuelles de l'enfant arrêtées par le Tribunal, après déduction de 300 fr. d'allocations familiales, à près de 1'050 fr. seront confirmées.</w:t>
      </w:r>
    </w:p>
    <w:p>
      <w:r>
        <w:rPr>
          <w:b/>
        </w:rPr>
        <w:t>E. 4.2.6</w:t>
      </w:r>
    </w:p>
    <w:p>
      <w:r>
        <w:t>L'intimée assumant l'entretien en nature de l'enfant, l'appelant doit couvrir l'entretien financier de son fils, ce d'autant plus qu'il n'exerce plus son droit de visite. Son solde disponible est en outre suffisant pour couvrir l'intégralité des charges incompressibles de l'enfant (1'183 fr. – 1'050 fr.) et lui laisse encore un solde disponible de 133 fr. par mois. Comme l'a retenu à raison le premier juge, les autres frais de l'enfant, notamment les frais découlant des activités extrascolaires et des stages durant la moitié des vacances scolaires attribuée à l'appelant doivent être couverts par l'excédent de l'intimée, celui de l'appelant étant insuffisant.</w:t>
      </w:r>
    </w:p>
    <w:p>
      <w:r>
        <w:rPr>
          <w:b/>
        </w:rPr>
        <w:t>E. 4.2.7</w:t>
      </w:r>
    </w:p>
    <w:p>
      <w:r>
        <w:t>A la lumière des éléments qui précèdent, le chiffre 2 du dispositif du jugement entrepris sera confirmé, sous réserve de la question du dies a quo de la modification qui sera examinée ci-après (cf. consid. 5 infra ). Le jugement entrepris sera en outre complété par la condamnation de l'appelant à payer à l'intimée 3'883 fr. 55 au titre de remboursement des frais extraordinaires de l'enfant C______ (orthodontie) pour la période du 22 avril 2021 au 26 septembre 2022.</w:t>
      </w:r>
    </w:p>
    <w:p>
      <w:r>
        <w:rPr>
          <w:b/>
        </w:rPr>
        <w:t>E. 5</w:t>
      </w:r>
    </w:p>
    <w:p>
      <w:r>
        <w:t>Le Tribunal a modifié la contribution d'entretien fixée en faveur de l'enfant dès la date de l'augmentation du taux d'activité de l'appelant, soit au 1 er mars 2022. L'appelant soutient que ses revenus n'ont en réalité pas augmenté, de sorte qu'il n'y avait pas lieu d'accorder un effet rétroactif à une éventuelle modification de la contribution d'entretien. L'intimée reproche, quant à elle, au Tribunal de ne pas avoir fixé le dies a quo à la date du dépôt de la demande de modification du jugement de divorce puisque les revenus de l'appelant avaient déjà augmenté à cette date-là.</w:t>
      </w:r>
    </w:p>
    <w:p>
      <w:r>
        <w:rPr>
          <w:b/>
        </w:rPr>
        <w:t>E. 5.1</w:t>
      </w:r>
    </w:p>
    <w:p>
      <w:r>
        <w:t>Le juge de l'action en modification d'un jugement de divorce peut fixer le moment à partir duquel son jugement prend effet selon son appréciation (art. 4 CC) en tenant compte des circonstances du cas concret (arrêt du Tribunal fédéral 5A_651/2014 du 27 janvier 2015 consid. 4.1.2; ATF 117 II 368 consid. 4c in SJ 1992 129). En principe, la jurisprudence retient la date du dépôt de la demande (ATF 115 II 315 consid. 3b; 90 II 351 consid. 4).</w:t>
      </w:r>
    </w:p>
    <w:p>
      <w:r>
        <w:rPr>
          <w:b/>
        </w:rPr>
        <w:t>E. 5.2</w:t>
      </w:r>
    </w:p>
    <w:p>
      <w:r>
        <w:t>En l'espèce, au moment du dépôt de la demande en modification du jugement de divorce, les revenus de l'appelant avaient déjà augmenté par rapport à ceux qu'il percevait en 2014, si l'on ne tient compte que de son revenu fixe de l'époque et non du remboursement partiel du prêt accordé par l'appelant à un tiers, celui-ci ne constituant pas un revenu certain puisque tributaire du résultat de l'exécution forcée. Par conséquent, la modification de la contribution d'entretien en faveur de l'enfant C______ sera fixée à la date du dépôt de la demande en modification du jugement de divorce, soit, par souci de simplification, au 1 er mars 2021. Le chiffre 2 du dispositif du jugement entrepris sera réformé dans le sens qui précède.</w:t>
      </w:r>
    </w:p>
    <w:p>
      <w:r>
        <w:rPr>
          <w:b/>
        </w:rPr>
        <w:t>E. 6.1</w:t>
      </w:r>
    </w:p>
    <w:p>
      <w:r>
        <w:t>Si l'instance d'appel statue à nouveau, elle se prononce sur les frais de la première instance (art. 318 al. 3 CPC). La modification du jugement querellé ne justifie pas de revoir le montant et la répartition des frais fixés par le Tribunal, lesquels sont conformes aux dispositions légales (art. 95, 96, 104 al. 1, 105, 106 al. 2, 107 al. 1 let. c, 111 al. 1, 122 et 123 CPC; art. 5 et 30 du Règlement genevois fixant le tarif des frais en matière civile – RTFMC – E 1 05.10).</w:t>
      </w:r>
    </w:p>
    <w:p>
      <w:r>
        <w:rPr>
          <w:b/>
        </w:rPr>
        <w:t>E. 6.2</w:t>
      </w:r>
    </w:p>
    <w:p>
      <w:r>
        <w:t>Il sera fait masse des frais judiciaires d'appel et d'appel joint. Compte tenu de la nature familiale du litige et de l'issue du litige, les frais judiciaires seront arrêtés à 2'000 fr. et mis à la charge des parties par moitié entre elles (art. 95 al. 1 let. a et al. 2, 104 al. 1, 105 al. 1, art. 106 al. 2 et 107 al. 1 let. c CPC; 5, 30 et 35 RTFMC). Ils seront compensés avec les avances de frais de 1'000 fr. chacune versées par les parties (art. 111 al. 1 CPC), qui demeurent acquises à l'Etat de Genève. Pour les mêmes raisons, il ne sera pas alloué de dépens d'appel et d'appel joint (art. 95 al. 1 let. b et al. 3, 96, 104 al. 1, 105 al. 2, 106 al. 2 et 107 al. 1 let. c CPC). * * * * * PAR CES MOTIFS, La Chambre civile : A la forme : Déclare recevable l'appel interjeté le 15 septembre 2022 par A______ contre les chiffres 2 et 9 du dispositif du jugement JTPI/9313/2022 rendu le 10 août 2022 par le Tribunal de première instance dans la cause C/3559/2021. Déclare recevable l'appel joint interjeté le 24 octobre 2022 par B______ contre les chiffres 2, 5 et 9 du dispositif de ce même jugement. Au fond : Annule le chiffre 2 du dispositif du jugement précité. Cela fait et statuant à nouveau sur ce point : Condamne A______ à verser à B______, à titre de contribution à l'entretien de C______, par mois et d'avance, allocations familiales non comprises, 1'050 fr. dès le 1 er mars 2021 et jusqu'à la majorité de l'enfant, voire au-delà en cas d'études ou de formation régulières et sérieuses. Condamne A______ à payer 3'883 fr. 55 à B______ au titre de remboursement des frais extraordinaires de l'enfant C______ (orthodontie) pour la période du 22 avril 2021 au 26 septembre 2022. Confirme le jugement entrepris pour le surplus. Déboute les parties de toutes autres conclusions. Sur les frais d'appel et d'appel joint : Arrête les frais judiciaires d'appel et d'appel joint à 2'000 fr., les met à la charge de A______ et B______ à raison d'une moitié chacun et les compense avec les avances de frais qu'ils ont versées, qui restent acquises à l'Etat de Genève. Dit qu'il n'est pas alloué de dépens d'appel et d'appel joint.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