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C/3558/2020 vom 14. September 2020</w:t>
      </w:r>
    </w:p>
    <w:p>
      <w:r>
        <w:t>GE Cour de justice, 2020-09-14, FR</w:t>
      </w:r>
    </w:p>
    <w:p>
      <w:r>
        <w:rPr>
          <w:b/>
        </w:rPr>
        <w:t xml:space="preserve">Quelle: </w:t>
      </w:r>
      <w:r>
        <w:t>https://mcp.opencaselaw.ch/entscheid/ge_gerichte_C_3558_2020</w:t>
      </w:r>
    </w:p>
    <w:p>
      <w:r>
        <w:t>FR: GE_GERICHTE C/3558/2020 du 14 septembre 2020</w:t>
      </w:r>
    </w:p>
    <w:p>
      <w:r>
        <w:t>IT: GE_GERICHTE C/3558/2020 del 14 settembre 2020</w:t>
      </w:r>
    </w:p>
    <w:p>
      <w:pPr>
        <w:pStyle w:val="Heading2"/>
      </w:pPr>
      <w:r>
        <w:t>Regeste</w:t>
      </w:r>
    </w:p>
    <w:p>
      <w:r>
        <w:t>lp.82.al1</w:t>
      </w:r>
    </w:p>
    <w:p>
      <w:pPr>
        <w:pStyle w:val="Heading2"/>
      </w:pPr>
      <w:r>
        <w:t>Erwägungen</w:t>
      </w:r>
    </w:p>
    <w:p>
      <w:r>
        <w:rPr>
          <w:b/>
        </w:rPr>
        <w:t>E. 1</w:t>
      </w:r>
    </w:p>
    <w:p>
      <w:r>
        <w:t>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1.5</w:t>
      </w:r>
    </w:p>
    <w:p>
      <w:r>
        <w:t>Les conclusions, allégations de fait et preuves nouvelles sont irrecevables dans le cadre d'un recours (art. 326 CPC). Dès lors, les pièces nouvellement versées par le recourant sont irrecevables, ainsi que les allégués de fait s'y rapportant.</w:t>
      </w:r>
    </w:p>
    <w:p>
      <w:r>
        <w:rPr>
          <w:b/>
        </w:rPr>
        <w:t>E. 2</w:t>
      </w:r>
    </w:p>
    <w:p>
      <w:r>
        <w:t>Le recourant reproche au Tribunal de ne pas 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5P.290/2006 du 12 octobre 2006 consid. 3.2).</w:t>
      </w:r>
    </w:p>
    <w:p>
      <w:r>
        <w:rPr>
          <w:b/>
        </w:rPr>
        <w:t>E. 2.2</w:t>
      </w:r>
    </w:p>
    <w:p>
      <w:r>
        <w:t>En l'espèce, le recourant a produit, en guise de titre de mainlevée, la première page d'un bilan, deux factures et deux rappels de paiement. Il n'a en revanche versé aucun contrat qui le lierait à l'intimée. Comme l'a retenu à bon droit le Tribunal, les titres sont dépourvus de signature de l'intimée, de sorte qu'ils ne valent pas reconnaissance de dette, pas plus, au demeurant, que les pièces produites, fussent-elles rapprochées les unes des autres. Dès lors, le recourant ne dispose d'aucune reconnaissance de dette. Le recours sera, dès lors, rejeté.</w:t>
      </w:r>
    </w:p>
    <w:p>
      <w:r>
        <w:rPr>
          <w:b/>
        </w:rPr>
        <w:t>E. 3</w:t>
      </w:r>
    </w:p>
    <w:p>
      <w:r>
        <w:t>Les frais judiciaires du recours seront arrêtés à 450 fr. (art. 48 et 61 OELP). Ils seront mis à la charge du recourant, qui succombe (art. 106 al. 1 CPC) et compensés avec l'avance effectuée, laquelle demeure acquise à l'Etat de Genève (art. 111 al. 1 CPC). Il ne sera pas alloué de dépens à l'intimée, les démarches effectuées ne le justifiant pas, au vu de la réponse d'une page (art. 95 al. 3 let. c CPC a contrario ). * * * * * PAR CES MOTIFS, La Chambre civile : A la forme : Déclare recevable le recours interjeté le 15 juin 2020 par A______ contre le jugement JTPI/7102/2020 rendu le 10 juin 2020 par le Tribunal de première instance dans la cause C/3558/2020-10 SML. Au fond : Le rejette. Déboute les parties de toutes autres conclusions. Sur les frais : Arrête les frais judiciaires du recours à 450 fr., compensés avec l'avance fournie, acquise à l'Etat de Genève, et les met à la charge de A______.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