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C/3493/2020 vom 31. August 2020</w:t>
      </w:r>
    </w:p>
    <w:p>
      <w:r>
        <w:t>GE Cour de justice, 2020-08-31, FR</w:t>
      </w:r>
    </w:p>
    <w:p>
      <w:r>
        <w:rPr>
          <w:b/>
        </w:rPr>
        <w:t xml:space="preserve">Quelle: </w:t>
      </w:r>
      <w:r>
        <w:t>https://mcp.opencaselaw.ch/entscheid/ge_gerichte_C_3493_2020</w:t>
      </w:r>
    </w:p>
    <w:p>
      <w:r>
        <w:t>FR: GE_GERICHTE C/3493/2020 du 31 août 2020</w:t>
      </w:r>
    </w:p>
    <w:p>
      <w:r>
        <w:t>IT: GE_GERICHTE C/3493/2020 del 31 agosto 2020</w:t>
      </w:r>
    </w:p>
    <w:p>
      <w:pPr>
        <w:pStyle w:val="Heading2"/>
      </w:pPr>
      <w:r>
        <w:t>Regeste</w:t>
      </w:r>
    </w:p>
    <w:p>
      <w:r>
        <w:t>CO.310; CPC.257</w:t>
      </w:r>
    </w:p>
    <w:p>
      <w:pPr>
        <w:pStyle w:val="Heading2"/>
      </w:pPr>
      <w:r>
        <w:t>Erwägungen</w:t>
      </w:r>
    </w:p>
    <w:p>
      <w:r>
        <w:rPr>
          <w:b/>
        </w:rPr>
        <w:t>E. 1.1</w:t>
      </w:r>
    </w:p>
    <w:p>
      <w:r>
        <w:t>A teneur de l'art. 308 al. 1 let. a CPC, l'appel est recevable contre les décisions de première instance, finales et incidentes, lorsque la valeur litigieuse au dernier état des conclusions atteint au moins 10'000 fr. dans les affaires patrimoniales (art. 308 al. 2 CPC). L'action en revendication au sens de l'art. 641 al. 2 CC est une contestation de nature pécuniaire dont la valeur litigieuse correspond à la valeur de l'objet revendiqué, déduction faite de l'hypothèque grevant celui-ci (ATF 94 II 51 consid. 2; arrêt du Tribunal fédéral 4A_18/2011 du 5 avril 2011 consid. 1.1; 4A_188/2012 du 1er mai 2012 consid. 1). En l'occurrence et dans la mesure où l'action porte sur la revendication d'une villa située à Genève, la valeur de 10'000 fr. est manifestement atteinte. Quand bien même la valeur litigieuse n'a pas été indiquée de manière précise, la voie de l'appel est dès lors ouverte.</w:t>
      </w:r>
    </w:p>
    <w:p>
      <w:r>
        <w:rPr>
          <w:b/>
        </w:rPr>
        <w:t>E. 1.2</w:t>
      </w:r>
    </w:p>
    <w:p>
      <w:r>
        <w:t>Déposé dans le délai utile et selon la forme prescrite par la loi (art. 130 al. 1, 131, 142 al. 3 et 311 al. 1 CPC), l'appel est recevable.</w:t>
      </w:r>
    </w:p>
    <w:p>
      <w:r>
        <w:rPr>
          <w:b/>
        </w:rPr>
        <w:t>E. 2</w:t>
      </w:r>
    </w:p>
    <w:p>
      <w:r>
        <w:t>L'appelant reproche au Tribunal d'avoir considéré que le cas était clair, et d'avoir fait droit à l'action en revendication de l'intimée.</w:t>
      </w:r>
    </w:p>
    <w:p>
      <w:r>
        <w:rPr>
          <w:b/>
        </w:rPr>
        <w:t>E. 2.1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(substanziiert und schlüssig), qui ne peuvent être écartées immédiatement et qui sont de nature à ébranler la conviction du juge, la procédure du cas clair est irrecevable (ATF 141 III 23 consid. 3.2; 138 III 620 consid. 5.1.1 et les arrêts cités). Des allégations du défendeur manifestement dénuées de fondement ou vouées à l'échec (défense de façade), sur lesquelles il peut être statué immédiatement, ne suffisent pas à exclure un cas clair (PC-CPC-DELABAYS, ad art. 257 n. 8, arrêt du Tribunal fédéral 4A_44/2017 consid. 3.2). La situation juridique est claire lorsque l'application de la norme au cas concret s'impose de façon évidente au regard du texte légal ou sur la base d'une doctrine et d'une jurisprudence éprouvées (ATF 138 III 123 consid. 2.1.2, 620 consid. 5.1.1, 728 consid. 3.3). En règle générale (cf. toutefois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 La référence à l'exercice d'un certain pouvoir d'appréciation ne permet cependant pas d'exclure l'existence d'un cas clair lorsque l'interdiction de l'abus de droit est invoquée. Une telle appréciation n'est en effet pas nécessaire en présence d'un comportement manifestement abusif, appartenant aux cas reconnus typiquement comme tels par la jurisprudence et la doctrine (arrêt du Tribunal fédéral 4A_350/2015 du 25 août 2015 consid. 4.2 et les références). Si le juge parvient à la conclusion que les conditions posées par l'art. 257 CPC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140 III 315 consid. 5).</w:t>
      </w:r>
    </w:p>
    <w:p>
      <w:r>
        <w:rPr>
          <w:b/>
        </w:rPr>
        <w:t>E. 2.2</w:t>
      </w:r>
    </w:p>
    <w:p>
      <w:r>
        <w:t>Selon l'art. 310 CO, si le prêt a été fait pour un usage dont le but ou la durée ne sont déterminés, le prêteur est libre de réclamer la chose quand bon lui semble. Le propriétaire d'une chose peut la revendiquer contre quiconque la détient sans droit (art. 641 al. 2 CC).</w:t>
      </w:r>
    </w:p>
    <w:p>
      <w:r>
        <w:rPr>
          <w:b/>
        </w:rPr>
        <w:t>E. 2.3</w:t>
      </w:r>
    </w:p>
    <w:p>
      <w:r>
        <w:t>En l'espèce, les deux parties admettent qu'elles se sont liées à compter de 2006 par un contrat de prêt oral portant sur la villa, dont l'intimée est seule propriétaire. L'intimée allègue que ce prêt a été convenu pour une durée indéterminée. Elle a offert en preuve de son allégué un titre qui n'est pas probant, puisqu'il s'agit d'un courrier de son propre avocat, de sorte que le fait ne peut être considéré comme démontré. Pour sa part, l'appelant conteste l'allégué précité de l'intimée, affirmant que ledit contrat de prêt serait de durée déterminée, le terme de celui-ci étant le moment où sa situation financière serait suffisamment stable pour racheter la villa. Etant donné que, dans le courrier de son conseil du 12 décembre 2019, il n'a fait aucune mention de cette supposée durée déterminée (se limitant à réfuter que le contrat de prêt fût résiliable "dans les termes" utilisés par l'intimée) et que, dans sa requête de conciliation du 28 avril 2020, il a allégué que le contrat le liant à l'intimée était de durée indéterminée (soit précisément ce qu'allègue l'intimée), il apparaît que la contestation élevée dans sa réponse du 25 mai 2020 relève de la défense de façade, élaborée pour les besoins de la présente cause. Il en résulte que son allégation de contrat de durée déterminée est manifestement dénuée de fondement, ce qui ne suffit pas à exclure un cas clair. Faute de contestation valable par l'appelant de l'état de fait soumis par l'intimée, celui-ci n'est pas litigieux. Pour le surplus, la situation juridique est claire, l'intimée ayant été fondée à mettre fin au contrat de prêt à la date qui lui convenait, et à partir de laquelle l'appelant n'a plus bénéficié d'un titre l'autorisant à demeurer dans la villa objet du prêt. L'action en revendication était ainsi ouverte à l'intimée. Le jugement entrepris, qui a fait droit à la requête de l'intimée, sera dès lors confirmé.</w:t>
      </w:r>
    </w:p>
    <w:p>
      <w:r>
        <w:rPr>
          <w:b/>
        </w:rPr>
        <w:t>E. 3</w:t>
      </w:r>
    </w:p>
    <w:p>
      <w:r>
        <w:t>L'appelant, qui succombe, supportera les frais de son appel (art. 106 al. 1 CPC), arrêtés à 2'000 fr. (art. 26, 35 RTFMC), compensés avec l'avance effectuée, acquise à l'Etat de Genève (art. 111 al. 1 CPC). Il versera en outre à l'intimée 1'500 fr. à titre de dépens, débours et TVA inclus (art. 84, 85, 88, 90 RTFMC et art. 25 et 26 LaCC). * * * * * PAR CES MOTIFS, La Chambre civile : A la forme : Déclare recevable l'appel formé le 11 septembre 2020 par A______ contre le jugement JTPI/10259/2020 rendu le 31 août 2020 par le Tribunal de première instance dans la cause C/3493/2020-9 SCC. Au fond : Confirme ce jugement. Déboute les parties de toutes autres conclusions. Sur les frais : Arrête les frais judiciaires d'appel à 2'000 fr., compensés avec l'avance déjà opérée, acquise à l'Etat de Genève. Les met à la charge de A______. Condamne A______ à verser à B______ 1'500 fr. à titre de dépens d'appel. Siégeant : Madame Pauline ERARD, présidente; Madame Sylvie DROIN et Madame Nathalie LANDRY-BARTHE,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