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C/3466/2007 vom 7. April 2008</w:t>
      </w:r>
    </w:p>
    <w:p>
      <w:r>
        <w:t>GE Cour de justice, 2008-04-07, FR</w:t>
      </w:r>
    </w:p>
    <w:p>
      <w:r>
        <w:rPr>
          <w:b/>
        </w:rPr>
        <w:t xml:space="preserve">Quelle: </w:t>
      </w:r>
      <w:r>
        <w:t>https://mcp.opencaselaw.ch/entscheid/ge_gerichte_C_3466_2007</w:t>
      </w:r>
    </w:p>
    <w:p>
      <w:r>
        <w:t>FR: GE_GERICHTE C/3466/2007 du 7 avril 2008</w:t>
      </w:r>
    </w:p>
    <w:p>
      <w:r>
        <w:t>IT: GE_GERICHTE C/3466/2007 del 7 aprile 2008</w:t>
      </w:r>
    </w:p>
    <w:p>
      <w:pPr>
        <w:pStyle w:val="Heading2"/>
      </w:pPr>
      <w:r>
        <w:t>Regeste</w:t>
      </w:r>
    </w:p>
    <w:p>
      <w:r>
        <w:t>DROIT DES SUCCESSIONS; RÉPUDIATION(DROIT SUCCESSORAL) ; POURSUITE PAR VOIE DE FAILLITE ; INDEMNITÉ POUR OCCUPATION ILLICITE | CC.602; CC.573; LP.193; CO.267; LP.224</w:t>
      </w:r>
    </w:p>
    <w:p>
      <w:pPr>
        <w:pStyle w:val="Heading2"/>
      </w:pPr>
      <w:r>
        <w:t>Erwägungen</w:t>
      </w:r>
    </w:p>
    <w:p>
      <w:r>
        <w:rPr>
          <w:b/>
        </w:rPr>
        <w:t>E. 1</w:t>
      </w:r>
    </w:p>
    <w:p>
      <w:r>
        <w:t>L’appel est recevable pour avoir été déposé selon la forme et dans le délai prescrits (art. 443 et 444 LPC). S’agissant d’une procédure qui ne concerne pas le chapitre II du titre VIII ème du code des obligations, le Tribunal a statué en premier ressort (art. 56P al. 2 LOJ). La Cour revoit donc la cause librement; sous réserve de l’immutabilité du litige, elle peut connaître de nouvelles conclusions, de nouveaux allégués et de nouvelles preuves (Bertossa/Gaillard/Guyet/Schmidt, Commentaire de la loi de procédure civile genevoise, n. 2 ad art. 445 LPC).</w:t>
      </w:r>
    </w:p>
    <w:p>
      <w:r>
        <w:rPr>
          <w:b/>
        </w:rPr>
        <w:t>E. 2</w:t>
      </w:r>
    </w:p>
    <w:p>
      <w:r>
        <w:t>L'appelant se prévaut, en premier lieu, de la nullité du congé au motif que l'avis de résiliation n'énumère pas tous les membres de l'indivision.</w:t>
      </w:r>
    </w:p>
    <w:p>
      <w:r>
        <w:rPr>
          <w:b/>
        </w:rPr>
        <w:t>E. 2.1</w:t>
      </w:r>
    </w:p>
    <w:p>
      <w:r>
        <w:t>S’il y a plusieurs héritiers, tous les droits et obligations compris dans la succession restent indivis jusqu’au partage (art. 602 al. 1 CC). Les héritiers sont propriétaires et disposent en commun des biens qui dépendent de la succession, sauf les droits de représentation et d’administration réservés par le contrat ou la loi (art. 602 al. 2 CC). La communauté héréditaire est une propriété en main commune au sens de l’art. 652 CC, qui fait naître de par la loi, la propriété commune de ses membres sur les biens successoraux. A défaut d’autre règle, les droits des communistes, en particulier celui de disposer de la chose, ne peuvent être exercés qu’en vertu d’une décision unanime (art. 653 al. 2 CC). Au décès du locataire, seul titulaire du bail, l’ouverture de sa succession fait passer les droits et obligations en découlant à ses héritiers formant l’hoirie avant le partage, au sens de l’art. 560 al. 1 CC. Pour respecter les exigences de l’art. 602 CC, le bailleur doit notifier la résiliation à tous les héritiers ( ACJC/247/2006 du 6 mars 2006 consid. 2.2 et la référence citée). Il y a abus de droit lorsque, par exemple, un vice de forme d'un contrat est invoqué dans un but étranger aux intérêts que la forme méconnue tend à protéger (ATF 104 II 99 consid. 4c; 112 II 330 consid. 3; voir aussi ATF 129 III 493 consid. 5.1). Il est alors important de savoir si la partie qui se prévaut du vice de forme en avait connaissance au moment de la conclusion ou de l’exécution du contrat; la partie qui se prévaut du vice de forme n’abuse pas de son droit lorsqu’elle a conclu et exécuté le contrat dans l’ignorance dudit vice (ATF 4C.225/2001 du 16 novembre 2001, consid. 2a, publié in SJ 2002 I, p. 403). Il n'existe pas de disposition de droit matériel selon laquelle la répudiation de la succession en tant que telle entraînerait la caducité du contrat de bail auquel le défunt était partie (ATF n.p. 4C.252/2005 du 6 février 2006, consid. 3). Enfin, les effets de l'ouverture de la faillite d'une succession répudiée sont les mêmes que ceux de l'ouverture de n'importe quelle faillite. Or, le droit suisse ne contient aucune disposition générale selon laquelle la faillite met fin automatiquement aux contrats auxquels le failli est partie (ATF n.p. 4C.252/2005 du 6 février 2006, consid. 4 et les références citées).</w:t>
      </w:r>
    </w:p>
    <w:p>
      <w:r>
        <w:rPr>
          <w:b/>
        </w:rPr>
        <w:t>E. 2.2</w:t>
      </w:r>
    </w:p>
    <w:p>
      <w:r>
        <w:t>Dans le cas particulier, le bailleur a signifié la résiliation du contrat de bail à W______ pour l'ensemble des héritiers, de sorte qu'il est évident que ce congé ne satisfait pas aux exigences mentionnées ci-dessus. Toutefois, l'appelant connaissait les identités et les adresses des deux seuls héritiers de feue Y______ puisqu'il les a fournies quelques jours plus tard à la Justice de paix. Il avait donc pleinement connaissance du fait qu'il existait d'autres héritiers et il était en mesure de leur faire parvenir un avis de congé officiel. Par ailleurs, l'intention de l'appelant était de prendre W______ en qualité de représentante afin que la résiliation atteigne, "par ses bons soins", tous les héritiers. Il avait donc la volonté d'atteindre tous les membres de l'hoirie. La résiliation a correctement atteint W______, et V______ - qui a répudié la succession - n'a pas contesté la validité de la résiliation. En outre, l'appelant a porté la résiliation à la connaissance de la Justice de paix en même temps que la liste des héritiers, si bien qu'il est vraisemblable que cette autorité a informé tous les héritiers de cette résiliation et qu'ainsi, V______ en ait eu connaissance. Au vu de ce qui précède, l'appelant ne saurait se prévaloir de la nullité d'une résiliation de bail qu'il a lui-même donnée au motif que tous les héritiers, qui ne contestent pas la résiliation, n'ont pas été atteints. Par ailleurs, ni la répudiation de la succession, ni l'ouverture de la faillite de la succession n'ont mis fin au contrat. Les premiers juges ont donc retenu, à juste titre, que le contrat de bail avait valablement pris fin au 30 juin 2006. Lorsque la succession a été répudiée par tous les héritiers le patrimoine du défunt est liquidé selon les règles de la faillite (art. 573 CC et art. 193 al. 1 et 2 LP). L'Office des faillites (art. 221 al. 1 LP), puis l'administration de la faillite (art. 240 LP), sont tenus de prendre, dès l'ouverture de la faillite, les mesures nécessaires pour sauvegarder les intérêts de la masse. Par administration de la faillite, il faut entendre l'Office des faillites à moins que l'assemblée des créanciers ait confié la liquidation à une administration spéciale (Gilliéron, Commentaire de la loi fédérale sur la poursuite pour dettes et la faillite, Lausanne, 2001, n. 6 et n. 18 ad art. 240 LP).</w:t>
      </w:r>
    </w:p>
    <w:p>
      <w:r>
        <w:rPr>
          <w:b/>
        </w:rPr>
        <w:t>E. 4</w:t>
      </w:r>
    </w:p>
    <w:p>
      <w:r>
        <w:t>4.1 En cas de faillite, la masse peut choisir de poursuivre elle-même les contrats en cours. La reprise du contrat est une possibilité et non une obligation. Elle peut découler d'actes concluants. Selon la jurisprudence, en matière de bail à loyer, le fait pour la masse de verser des sûretés constitue une reprise par actes concluants. Il en va de même si elle continue de s'acquitter des loyers ou si elle continue d'occuper les locaux malgré la sommation du bailleur de prendre position sur une résiliation du bail (ATF n.p. 4C.252/2005 du 6 février 2006, consid. 5.2 et les références citées). Si la masse ne veut pas reprendre le contrat - ce qui n'a pas pour effet de mettre fin au contrat - les loyers qui arrivent à échéance sont alors des dettes dans la masse qui doivent être colloquées (ATF précité). En revanche, si la masse choisit de poursuivre elle-même le contrat, les obligations qui en résultent, postérieurement à la faillite, sont des dettes de la masse (ATF précité).</w:t>
      </w:r>
    </w:p>
    <w:p>
      <w:r>
        <w:rPr>
          <w:b/>
        </w:rPr>
        <w:t>E. 4.2</w:t>
      </w:r>
    </w:p>
    <w:p>
      <w:r>
        <w:t>En l'espèce, l'intimée avait connaissance du fait que le bail avait été résilié pour le 30 juin 2006. Postérieurement à cette date, l'appelant n'a pas interpellé l'intimée sur sa volonté de prolonger le bail. Or, le seul fait que l'intimée ait continué d'occuper les locaux à la fin du bail tout en conservant les clés n'a pas eu pour conséquence de prolonger le contrat de bail ou d'en conclure un nouveau car elle n'avait pas l'intention reconnaissable de continuer à les occuper au-delà du 30 juin 2006. L'intimée n'a donc pas repris le contrat de bail et les loyers jusqu'au 30 juin 2006 ont à juste titre été portés à l'état de collocation. Les frais de ramonage, qui étaient liés au contrat de bail, constituent également une dette à colloquer puisque l'intimée n'a pas à supporter les obligations du contrat de bail qu'elle n'a pas repris. Ils ne constituent dès lors pas des frais de la masse et la demande a sur ce point été rejetée à juste titre.</w:t>
      </w:r>
    </w:p>
    <w:p>
      <w:r>
        <w:rPr>
          <w:b/>
        </w:rPr>
        <w:t>E. 5</w:t>
      </w:r>
    </w:p>
    <w:p>
      <w:r>
        <w:t>. 1 En vertu de l’art. 267 CO, à la fin du bail, le locataire doit restituer la chose dans l’état qui résulte d’un usage conforme au contrat. Lorsque le créancier ne peut obtenir l’exécution de l’obligation ou ne peut l’obtenir qu’imparfaitement, le débiteur est tenu de réparer le dommage en résultant, à moins qu’il ne prouve qu’aucune faute ne lui est imputable (art. 97 al. 1 CO). Si le locataire reste dans les lieux loués nonobstant l’expiration du bail, il commet une faute contractuelle (ATF 121 III 408 , consid.4c p.413; ATF 117 II 65 consid.2b, p.68). Il est alors redevable de dommages-intérêts au bailleur (art. 97 et ss CO). Le dommage consiste en une réduction de l’actif, en une augmentation du passif ou dans un gain manqué; il correspond à la différence entre le montant actuel du patrimoine et le montant que celui-ci aurait atteint si l’événement dommageable ne s’était pas produit (THEVENOZ, Commentaire romand, Code des obligations, Bâle, 2003 n. 30 ad art. 97 CO et les références citées). En vertu de l'article 44 al. 1 CO applicable par renvoi de l'article 99 al. 3 CO, le bailleur est tenu toutefois de ne pas aggraver le dommage. Si le locataire continue d'occuper les lieux, le bailleur pourra d’abord réclamer une indemnité pour occupation illicite des locaux. Elle correspond en règle générale au montant du loyer pour la période pendant laquelle le locataire demeure dans les lieux (ATF 4C.183/1996 du 22 novembre 1996, consid. 3c; LACHAT, Le bail à loyer, 1997, p. 532; ACJC/743/07 du 11 juin 2007, consid. 3.1). En outre, la Chambre d'appel de céans admet qu'il convient également de tenir compte, dans le cadre de l'appréciation du dommage subi par le bailleur dont les locaux n'ont pas été restitués au jour de la résiliation du bail, d'une période raisonnable de deux mois pour la relocation des locaux. En effet, le bailleur devait disposer d'un délai raisonnable pour se déterminer sur la candidature du nouveau locataire, démarche qu'il ne pouvait entreprendre avant que les locaux lui aient été restitués ( ACJC/29/1998 du 12 janvier 1998; ACJC 1273/1996 du 18 novembre 1996). A teneur de l'art. 224 LP, l'Office laisse à la disposition du failli les biens insaisissables au sens de l'art. 92 LP, en les portant néanmoins dans l'inventaire. En cas de décès du poursuivi, les objets de première nécessité légalement insaisissables doivent être remis aux membres de sa famille, même s'ils ne déclarent pas accepter la succession (Gilliéron, op. cit., n. 75 ad art. 92 LP).</w:t>
      </w:r>
    </w:p>
    <w:p>
      <w:r>
        <w:rPr>
          <w:b/>
        </w:rPr>
        <w:t>E. 5.2</w:t>
      </w:r>
    </w:p>
    <w:p>
      <w:r>
        <w:t>En l'espèce, l'Office, en sa qualité de représentant de la Masse, a conservé la maîtrise des locaux jusqu'au 9 août 2006, date à laquelle elle a restitué les clés au bailleur. Or, il lui était loisible de procéder à l'inventaire avant la fin du bail. Il s'ensuit que l'appelant est fondé à réclamer à l'intimée la réparation du dommage résultant de la non-restitution des locaux au 30 juin 2006, montant qui constitue une dette de la masse et non une dette devant être portée à l'état de collocation. Comme il appartenait à la Masse de prendre possession des meubles et objets se trouvant dans l'appartement de feue Y______, le cas échéant pour les remettre aux héritiers, et que plusieurs jours ont été nécessaires à l'appelant pour vider les locaux, la Cour retiendra que l'appartement était en état d'être reloué par son propriétaire à la fin du mois d'août 2006. L'appelant allègue que son dommage correspond au loyer dû jusqu'au 31 octobre 2006, ce qui représente deux mois de loyer depuis la restitution du logement vide. Ce laps de temps de deux mois pour rechercher un locataire convenable est conforme à la jurisprudence de la Cour de céans précitée. Par conséquent, l'intimée sera condamnée à verser à l'appelant la somme de 7'980 fr., correspondant à quatre mois de loyer, au titre d'indemnité équitable pour occupation illicite des locaux. Le jugement attaqué sera modifié en conséquence.</w:t>
      </w:r>
    </w:p>
    <w:p>
      <w:r>
        <w:rPr>
          <w:b/>
        </w:rPr>
        <w:t>E. 5.3</w:t>
      </w:r>
    </w:p>
    <w:p>
      <w:r>
        <w:t>En concluant au paiement de la somme qui aurait été nécessaire de verser à une entreprise de nettoyage pour vider l'appartement, l'appelant n'entend ni se faire rembourser une diminution de ses actifs - puisqu'il n'a pas payé lui-même une telle entreprise -, ni se voir payer un gain manqué - car il n'a pas prouvé avoir dû renoncer à un travail rémunéré pour effectuer le déménagement. Par conséquent, le recours de l'appelant s'avère mal fondé sur ce point.</w:t>
      </w:r>
    </w:p>
    <w:p>
      <w:r>
        <w:rPr>
          <w:b/>
        </w:rPr>
        <w:t>E. 6</w:t>
      </w:r>
    </w:p>
    <w:p>
      <w:r>
        <w:t>Les parties succombent chacune partiellement, de sorte qu’elles seront condamnées au paiement d’un émolument d'appel de 150 fr. chacune (art. 447 al. 2 LPC).</w:t>
      </w:r>
    </w:p>
    <w:p>
      <w:r>
        <w:rPr>
          <w:b/>
        </w:rPr>
        <w:t>E. 7</w:t>
      </w:r>
    </w:p>
    <w:p>
      <w:r>
        <w:t>Au vu des conclusions devant la Cour, la valeur litigieuse des conclusions pécuniaires au sens de la LTF est inférieure à 15'000 fr. (art. 51 LTF; ATF 4C.387/2004 , consid. 1.2. et réf.).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