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C/3279/2004 vom 8. Juni 2007</w:t>
      </w:r>
    </w:p>
    <w:p>
      <w:r>
        <w:t>GE Cour de justice, 2007-06-08, FR</w:t>
      </w:r>
    </w:p>
    <w:p>
      <w:r>
        <w:rPr>
          <w:b/>
        </w:rPr>
        <w:t xml:space="preserve">Quelle: </w:t>
      </w:r>
      <w:r>
        <w:t>https://mcp.opencaselaw.ch/entscheid/ge_gerichte_C_3279_2004</w:t>
      </w:r>
    </w:p>
    <w:p>
      <w:r>
        <w:t>FR: GE_GERICHTE C/3279/2004 du 8 juin 2007</w:t>
      </w:r>
    </w:p>
    <w:p>
      <w:r>
        <w:t>IT: GE_GERICHTE C/3279/2004 del 8 giugno 2007</w:t>
      </w:r>
    </w:p>
    <w:p>
      <w:pPr>
        <w:pStyle w:val="Heading2"/>
      </w:pPr>
      <w:r>
        <w:t>Regeste</w:t>
      </w:r>
    </w:p>
    <w:p>
      <w:r>
        <w:t>; CONVENTION SUR LES EFFETS ACCESSOIRES DU DIVORCE ; DONATION | CO.151 CO.239 CO.243</w:t>
      </w:r>
    </w:p>
    <w:p>
      <w:pPr>
        <w:pStyle w:val="Heading2"/>
      </w:pPr>
      <w:r>
        <w:t>Erwägungen</w:t>
      </w:r>
    </w:p>
    <w:p>
      <w:r>
        <w:rPr>
          <w:b/>
        </w:rPr>
        <w:t>E. 1</w:t>
      </w:r>
    </w:p>
    <w:p>
      <w:r>
        <w:t>Interjeté dans le délai et la forme prévus par la loi (art. 296 al. 1 et 300 LPC), l’appel est recevable à la forme. S'agissant en particulier de l'indication du jugement attaqué (art. 300 lit. b LPC), celle-ci apparaît dans les conclusions de l'appelante, ce qui est suffisant au regard de la loi. Comme les conclusions de première instance portent sur une valeur litigieuse supérieure à 8'000 fr. en capital, le Tribunal a statué en premier ressort (art. 22 et 24 LOJ). La cour connaît ainsi de la présente cause avec plein pouvoir d’examen (art. 291 LPC).</w:t>
      </w:r>
    </w:p>
    <w:p>
      <w:r>
        <w:rPr>
          <w:b/>
        </w:rPr>
        <w:t>E. 2</w:t>
      </w:r>
    </w:p>
    <w:p>
      <w:r>
        <w:t>Devant la Cour, seules sont litigieuses les conclusions pécuniaires prises par l'appelante contre l'intimé. Il convient d'examiner d'abord la question de la somme prévue dans la convention du 20 juin 2002 (consid. 3), puis celle relative à la somme destinée à l'achat d'un appartement à Paris (consid. 4).</w:t>
      </w:r>
    </w:p>
    <w:p>
      <w:r>
        <w:rPr>
          <w:b/>
        </w:rPr>
        <w:t>E. 3</w:t>
      </w:r>
    </w:p>
    <w:p>
      <w:r>
        <w:t>L'appelante soutient que la convention du 20 juin 2002 comportant l'engagement de l'intimé de verser la somme de € 3'091'625.- ne constitue pas une convention sur les effets accessoires du divorce; il s'agit au contraire d'une prétention nouvelle - par rapport aux prétentions fondées sur le droit français du divorce - issue du droit suisse des obligations. Il n'y a donc pas d'identité entre la procédure de divorce française et l'action en paiement suisse. Sur le fond, l'appelante déduit des pièces produites que sa prétention en versement de € 3'091'625.- est indiscutablement fondée et peut lui être accordée sans que des enquêtes se justifient. De son côté, l'intimé fait sienne l'argumentation du premier juge relative à l'exception de chose jugée. Sur le fond, il soutient que les conditions posées au versement prévu dans la convention du 20 juin 2002 n'ont pas été réalisées. Dès lors, la somme ne serait de toute manière pas due. A titre préalable, il convient donc de qualifier l'engagement pris le 20 juin 2002 par l'intimé envers l'appelante.</w:t>
      </w:r>
    </w:p>
    <w:p>
      <w:r>
        <w:rPr>
          <w:b/>
        </w:rPr>
        <w:t>E. 3.1</w:t>
      </w:r>
    </w:p>
    <w:p>
      <w:r>
        <w:t>La convention du 20 juin 2002 est dénommée convention de séquestre amiable. Elle ne règle cependant pas seulement la question de la remise de fonds à un tiers - charge à lui de conserver ceux-ci et de les remettre en temps voulu à une personne déterminée - mais également celle de l'engagement de l'intimé de verser à l'appelante une somme de € 3'091'625.-. La convention ne prévoit pas de contrepartie - en termes économiques - provenant de l'appelante. Elle prévoit uniquement que ce versement aura lieu pour solde de toute prétention de quelque nature que ce soit et à quelque titre de que ce soit et fait référence à la procédure de divorce déposée peu de temps auparavant à Paris. En tant que l'engagement vise à céder à l'appelante des biens de l'intimé sans contre-prestation correspondante, il doit être qualifié de donation (art. 239 al. 1 CO). En revanche, s'il se limite à concrétiser un devoir légal découlant du mariage, il ne s'agit pas d'une donation car l'élément de gratuité fait alors défaut (Baddeley, Commentaire romand, n. 25 ad art. 239 CO; Cavin, Traité de droit privé suisse, tome VII 1, p. 178). Il s'agit dans ce cas d'une convention portant sur les effets accessoires du divorce. Quelle que soit la réponse apportée à cette question, l'appel apparaît infondé.</w:t>
      </w:r>
    </w:p>
    <w:p>
      <w:r>
        <w:rPr>
          <w:b/>
        </w:rPr>
        <w:t>E. 3.2</w:t>
      </w:r>
    </w:p>
    <w:p>
      <w:r>
        <w:t>Le premier juge a retenu que la convention du 20 juin 2002 avait pour but de régler les effets accessoires du divorce. Cette appréciation emporte la conviction en raison des éléments suivants qui, tous, relèvent exclusivement des relations de mariage entre les époux: le préambule rappelle l'évolution du couple depuis son mariage et fait référence à la procédure intentée à Paris quelques jours plus tôt; la convention définitive de divorce du 17 mai 2002 est annexée; les époux déclarent que leur lien conjugal est définitivement rompu; ils renoncent à toute autre prétention entre eux. La convention ne fait aucune mention d'autres relations (contrat de société, donation, etc.) susceptibles de faire naître des obligations entre les parties. Dans l'hypothèse d'une convention portant exclusivement sur les effets accessoires du divorce, force est de constater que la procédure française opposait les mêmes parties et avait le même objet que celle se déroulant à Genève. Lorsqu'il a rendu sa décision sur les effets accessoires du divorce, le juge français du divorce a réglé de manière complète les aspects du litige des époux découlant des règles matrimoniales. Dans la mesure où ce jugement a été reconnu et déclaré exécutoire en Suisse, l'exception de chose jugée en découlant sur cet aspect du litige peut être opposée à l'appelante (art. 9 al. 3 LDIP). Par conséquent, le premier juge était fondé à déclarer irrecevable la demande en paiement déposée à Genève par l'appelante et le jugement peut être confirmé.</w:t>
      </w:r>
    </w:p>
    <w:p>
      <w:r>
        <w:rPr>
          <w:b/>
        </w:rPr>
        <w:t>E. 3.3</w:t>
      </w:r>
    </w:p>
    <w:p>
      <w:r>
        <w:t>Dans l'hypothèse où la convention du 20 juin 2002 viserait une donation, elle devrait être qualifiée de promesse de donner au sens de l'art. 243 CO, applicable en raison de l'élection de droit des parties (art. 116 al. 1 LDIP). Cette promesse est valable pour avoir été rédigée par écrit (art. 243 al. 1 CO). Elle peut être assortie de conditions, que celles-ci soit résolutoires ou suspensives (Baddeley, op. cit., n. 54 ad art. 239 CO). Les parties ont en l'espèce prévu que la donation ne serait exécutée qu'après la réalisation de deux conditions cumulatives suspensives. En d'autres termes, le versement prévu ne devait être opéré - par le biais du tiers séquestre - qu'à compter du moment où les conditions s'accompliraient (art. 151 al. 2 CO). Sur ce point, il n'y a pas lieu de s'écarter du sens du texte de la convention dans la mesure où il n'existe aucune raison sérieuse de penser qu'il ne correspondrait pas à leur volonté (ATF 133 III 61 consid. 2.2.1). Selon la convention, la première condition était l'obtention du jugement de divorce et la seconde la production d'un certificat de non appel. Tant les termes choisis (" jugement de divorce à intervenir ") que la référence précise à la requête commune de divorce déposée quelques jours plus tôt à Paris permettent de retenir que les conditions posées par les parties se rapportaient au divorce prononcé consécutivement à la requête du 14 juin 2002. A cela s'ajoute le fait que les effets du séquestre amiable étaient limités dans le temps à seize mois, c'est-à-dire une période de temps qui ne permettait matériellement pas d'introduire et de conduire à terme une procédure de divorce conflictuelle. Il est constant que la procédure de divorce déposée en commun par les époux le 14 juin 2002 a été retirée par l'appelante, apparemment parce qu'elle considérait que cette procédure ne lui assurerait pas une aisance matérielle suffisante. Cette procédure n'a pas été ultérieurement reprise par l'appelante. Dans ces circonstances, la première condition posée à l'exécution de la donation ne pouvait plus se réaliser, comme la Cour de céans avait déjà eu l'occasion de l'affirmer dans son arrêt du 26 février 2004. Par conséquent, l'appelante ne pourrait déduire aucun droit de la convention du 20 juin 2002.</w:t>
      </w:r>
    </w:p>
    <w:p>
      <w:r>
        <w:rPr>
          <w:b/>
        </w:rPr>
        <w:t>E. 4</w:t>
      </w:r>
    </w:p>
    <w:p>
      <w:r>
        <w:t>S'agissant du versement de la somme de € 1'830'000.-, l'appelante soutient que cette prétention découle de promesses orales de l'intimé au cours de l'automne 2002. Elle affirme également qu'une convention écrite signée en plusieurs exemplaires aurait été confiée à sa fille. Elle ne dit pas où se trouverait aujourd'hui ce document et n'en produit pas de copie. Les seules pièces à disposition de la Cour sont des brouillons sans signature des parties. A l'instar du Tribunal, l'intimé expose que cet aspect du litige a également été entièrement réglé par le juge parisien. Dès lors, l'exception de chose juge serait également opposable à l'appelante. Quelle que soit la qualification du prétendu engagement de l'intimé, l'appel se révèle infondé.</w:t>
      </w:r>
    </w:p>
    <w:p>
      <w:r>
        <w:rPr>
          <w:b/>
        </w:rPr>
        <w:t>E. 4.1</w:t>
      </w:r>
    </w:p>
    <w:p>
      <w:r>
        <w:t>L'appelante ne fonde pas sa prétention en paiement de € 1'830'000.- sur la convention du 20 juin 2002, mais sur une promesse ultérieure. Dans son optique, il s'agit à nouveau d'un engagement relevant du seul droit des obligations suisse. A défaut de contre-prestation, il s'agit d'une donation (art. 239 al. 1 CO). Celle-ci est soumise au droit suisse, lieu de la résidence habituelle de l'intimé en novembre 2002 (art. 117 al. 2 et 3 lit. a CO). Pour être valable, la promesse de donner doit être passée en la forme écrite (art. 243 al. 1 CO). Le but de cette prescription est de protéger le donateur qui ne se dessaisit pas de la chose et qui pourrait, de ce fait, s'engager de manière irréfléchie (ATF 105 II 104 consid. 3b). Le contrat pour lequel la loi exige la forme écrite doit être signé par toutes les personnes auxquelles il impose des obligations (art. 13 al. 1 CO) et la signature doit être écrite à la main (art. 14 al. 1 CO). L'exigence de signature ne s'applique en principe qu'au donateur, à moins que le donataire assume une charge (ATF 110 II 156 consid. 2d).</w:t>
      </w:r>
    </w:p>
    <w:p>
      <w:r>
        <w:rPr>
          <w:b/>
        </w:rPr>
        <w:t>E. 4.2</w:t>
      </w:r>
    </w:p>
    <w:p>
      <w:r>
        <w:t>En l'espèce, l'appelante ne produit aucun document portant la signature de l'intimé et valant engagement de celui-ci de verser la somme de € 1'830'000.-. Elle affirme certes qu'un tel document existe et précise même à qu'il serait confié à sa fille. Elle n'explique en revanche pas pour quel motif cette pièce n'est pas produite et ne fait valoir aucun empêchement de sa part à la présenter; elle n'allègue pas non plus que cette pièce serait en mains de sa partie adverse (cf. art. 186 al. 2 LPC). Au vu de ces éléments, la Cour arrive à la conclusion que cette pièce - que l'appelante devait produire depuis le début de la présente procédure il y a plus de trois ans - n'existe pas. Par conséquent, l'éventuelle promesse de donner de l'intimé est nulle (ATF 117 II 382 consid. 2b) et l'appelante ne peut en déduire aucun droit. En raison de cette nullité, l'audition de témoins ayant entendu les parties ou leurs enfants parler d'une éventuelle intention de donation est inutile. Par conséquent, les conclusions de l'appelante en ouverture d'enquêtes doivent être rejetées.</w:t>
      </w:r>
    </w:p>
    <w:p>
      <w:r>
        <w:rPr>
          <w:b/>
        </w:rPr>
        <w:t>E. 4.3</w:t>
      </w:r>
    </w:p>
    <w:p>
      <w:r>
        <w:t>A défaut d'engagement valable de l'intimé - déduit du droit des obligations -, la seule cause susceptible de fonder la prétention de l'appelante en paiement de la somme de € 1'830'000.- relèverait du statut matrimonial. Or, comme on l'a vu, le juge parisien a entièrement statué sur les questions relevant des rapports matrimoniaux entre les parties. Là encore, la prétention de l'appelante se heurte donc à l'exception de chose jugée et la décision du premier juge doit être confirmée.</w:t>
      </w:r>
    </w:p>
    <w:p>
      <w:r>
        <w:rPr>
          <w:b/>
        </w:rPr>
        <w:t>E. 5</w:t>
      </w:r>
    </w:p>
    <w:p>
      <w:r>
        <w:t>L'appelante, qui succombe, sera condamnée aux dépens d’appel, lesquels comprendront une indemnité de procédure à titre de participation aux honoraires d’avocat de l’intimé (art. 176 al. 1 et 181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