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C/3188/2009 vom 22. Juni 2012</w:t>
      </w:r>
    </w:p>
    <w:p>
      <w:r>
        <w:t>GE Cour de justice, 2012-06-22, FR</w:t>
      </w:r>
    </w:p>
    <w:p>
      <w:r>
        <w:rPr>
          <w:b/>
        </w:rPr>
        <w:t xml:space="preserve">Quelle: </w:t>
      </w:r>
      <w:r>
        <w:t>https://mcp.opencaselaw.ch/entscheid/ge_gerichte_C_3188_2009</w:t>
      </w:r>
    </w:p>
    <w:p>
      <w:r>
        <w:t>FR: GE_GERICHTE C/3188/2009 du 22 juin 2012</w:t>
      </w:r>
    </w:p>
    <w:p>
      <w:r>
        <w:t>IT: GE_GERICHTE C/3188/2009 del 22 giugno 2012</w:t>
      </w:r>
    </w:p>
    <w:p>
      <w:pPr>
        <w:pStyle w:val="Heading2"/>
      </w:pPr>
      <w:r>
        <w:t>Regeste</w:t>
      </w:r>
    </w:p>
    <w:p>
      <w:r>
        <w:t>; COPROPRIÉTÉ ; PARTAGE(SENS GÉNÉRAL) | 1. En cas de copropriété des époux sur un bien, il convient en principe de partager celui-ci avant de déterminer, en vue de la liquidation du régime matrimonial, comment le bien en question a été financé et dans quelle proportion chacun doit profiter d'une éventuelle plus-value du bien (consid. 5.1). 2.Le juge décide modes enchères du bien en copropriété selon les circonstances de l'espèce. Si les époux copropriétaires ne désirent pas que l'immeuble passe en mains étrangères, des enchères privées entre eux se justifient. En revanche, s'ils entendent l'un et l'autre acquérir tout l'immeuble ou tirer le plus grand profit de l'aliénation, les enchères publiques doivent être privilégiées (consid. 5.2.1). | aCC.138 CC.124 CC.205.2 CC.650 C.651</w:t>
      </w:r>
    </w:p>
    <w:p>
      <w:pPr>
        <w:pStyle w:val="Heading2"/>
      </w:pPr>
      <w:r>
        <w:t>Erwägungen</w:t>
      </w:r>
    </w:p>
    <w:p>
      <w:r>
        <w:rPr>
          <w:b/>
        </w:rPr>
        <w:t>E. 6</w:t>
      </w:r>
    </w:p>
    <w:p>
      <w:r>
        <w:t>Sur appel incident, l'intimée fait grief au premier juge d'avoir ordonné que l'indemnité équitable qui lui est due selon l'art. 124 CC soit versée sur son compte auprès de son institution de prévoyance, plutôt qu'entre ses mains.</w:t>
      </w:r>
    </w:p>
    <w:p>
      <w:r>
        <w:rPr>
          <w:b/>
        </w:rPr>
        <w:t>E. 6.1</w:t>
      </w:r>
    </w:p>
    <w:p>
      <w:r>
        <w:t>En application de l'art. 124 al. 1 CC, une indemnité équitable est due lorsqu'un cas de prévoyance est déjà survenu pour l'un des époux ou pour les deux ou que les prétentions en matière de prévoyance professionnelle acquises durant le mariage ne peuvent être partagées pour d'autres motifs. Selon la jurisprudence, dès qu'un cas de prévoyance est survenu chez le conjoint créancier d'une indemnité équitable selon l'art. 124 CC, rien ne s'oppose à ce que celui-ci puisse obtenir le versement de l'indemnité en espèces et en disposer librement (ATF 132 III 145 consid. 4.2 et les références citées). Il s'ensuit qu'il ne saurait être question que la rente viagère allouée à l'époux crédirentier à titre d'indemnité équitable selon l'art. 124 al. 1 CC soit versée à sa caisse de pension après la survenance d'un cas de prévoyance, en particulier le cas de prévoyance "vieillesse". En effet, dès la réalisation du cas de prévoyance "vieillesse", non seulement l'époux crédirentier devra pouvoir disposer librement de la rente qui lui a été allouée à titre d'indemnité équitable selon l'art. 124 CC précisément pour sa prévoyance, mais encore sa caisse de pension ne pourra plus accepter aucun paiement, puisque son avoir de prévoyance aura été converti en rente et/ou versé sous forme de prestation en capital (ATF 132 III 145 consid. 4.3).</w:t>
      </w:r>
    </w:p>
    <w:p>
      <w:r>
        <w:rPr>
          <w:b/>
        </w:rPr>
        <w:t>E. 6.2</w:t>
      </w:r>
    </w:p>
    <w:p>
      <w:r>
        <w:t>En l'espèce, un cas de prévoyance est survenu pour l'intimée qui est au bénéfice d'une retraite anticipée depuis juin 2010 et perçoit à ce titre une rente de sa caisse de prévoyance professionnelle. Dans ces circonstances, en application de la jurisprudence précitée, il y a lieu de considérer que l'intimée est fondée à exiger que la somme de 570'350 fr. qui lui est due à titre d'indemnité équitable selon l'art. 124 CC, et non contestée par les parties, soit versée directement entre ses mains. Partant, l'appel incident sera admis sur ce point. Le chiffre 8 du dispositif du jugement entrepris sera annulé et reformulé pour plus de clarté. Dès lors, la Cour condamnera l'appelant à verser la somme de 570'350 fr. à l'intimée au titre d'indemnité équitable et ordonnera en conséquence à la caisse de prévoyance de l'appelant de prélever la somme de 570'350 fr. du compte de libre passage de ce dernier et de la verser directement en mains de l'intimée.</w:t>
      </w:r>
    </w:p>
    <w:p>
      <w:r>
        <w:rPr>
          <w:b/>
        </w:rPr>
        <w:t>E. 7</w:t>
      </w:r>
    </w:p>
    <w:p>
      <w:r>
        <w:t>Au regard de la qualité des parties et de la nature du litige, la Cour compensera les dépens de l'appel et de l'appel incident (art. 176 al. 3 aLPC).</w:t>
      </w:r>
    </w:p>
    <w:p>
      <w:r>
        <w:rPr>
          <w:b/>
        </w:rPr>
        <w:t>E. 8</w:t>
      </w:r>
    </w:p>
    <w:p>
      <w:r>
        <w:t>Le présent arrêt est susceptible d'un recours en matière civile au Tribunal fédéral (art. 72 al. 1 LTF), la valeur litigieuse étant supérieure à 30'000 fr. au sens de l'art. 74 al. 1 let. b LTF. * * * * * PAR CES MOTIFS, La Chambre civile : A la forme : Déclare recevables l'appel interjeté par X.______ le 28 janvier 2011 et l'appel incident interjeté par Dame X.______ le 9 mai 2011 contre le jugement JTPI/21580/2010 prononcé le 13 décembre 2010 par le Tribunal de première instance dans la cause C/3188/2009-10. Déclare recevables les conclusions nouvelles prises par Dame X.______. Déclare recevables les moyens de preuve nouveaux produits par X.______ et Dame X.______. Au fond : Annule les chiffres 3 à 8 du dispositif du jugement précité. Dit que les autres chiffres du dispositif dudit jugement sont entrés en force de chose jugée. Et, statuant à nouveau : Renvoie la cause au Tribunal de première instance pour qu'il : - ordonne la vente aux enchères publiques, conformément à l'art. 651 al. 2 CC, de l'immeuble en copropriété des parties, sis ______ à A.______, parcelle n° 1______de la Commune de B.______, sauf accord contraire des parties, - donne acte à X.______ de son engagement à faire inscrire au Registre foncier un droit de préemption sur l'immeuble précité en faveur de Dame X.______, droit qui s'éteindra après la première vente, - permette, le cas échéant, aux parties de s'exprimer sur le résultat de ladite vente, et - prononce une nouvelle décision concernant la répartition subséquente du bénéfice et la liquidation du régime matrimonial des parties. Condamne X.______ à verser la somme de 570'350 fr. à Dame X.______ au titre d'indemnité équitable. Ordonne en conséquence à la caisse de prévoyance de X.______, soit la Caisse de retraite des employés de C.______ et des Sociétés du Groupe C.______, Genève, de prélever la somme de 570'350 fr. du compte de libre passage de X.______ et de la verser en mains de Dame X.______. Dit que chaque partie supporte ses propres dépens d'appel et d'appel incident.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