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C/3178/2021 vom 6. September 2021</w:t>
      </w:r>
    </w:p>
    <w:p>
      <w:r>
        <w:t>GE Cour de justice, 2021-09-06, FR</w:t>
      </w:r>
    </w:p>
    <w:p>
      <w:r>
        <w:rPr>
          <w:b/>
        </w:rPr>
        <w:t xml:space="preserve">Quelle: </w:t>
      </w:r>
      <w:r>
        <w:t>https://mcp.opencaselaw.ch/entscheid/ge_gerichte_C_3178_2021</w:t>
      </w:r>
    </w:p>
    <w:p>
      <w:r>
        <w:t>FR: GE_GERICHTE C/3178/2021 du 6 septembre 2021</w:t>
      </w:r>
    </w:p>
    <w:p>
      <w:r>
        <w:t>IT: GE_GERICHTE C/3178/2021 del 6 settembre 2021</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au vu du montant du loyer mensuel, la valeur litigieuse est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 nouvelles pièces et fait valoir de nouveaux faits.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L'extrait du Registre du commerce produit par l'appelante est un fait notoire, qui ne doit être ni allégué, ni prouvé (arrêt du Tribunal fédéral 4A_645/2011 du 27 janvier 2012 consid. 3.4.2) de sorte qu'il est recevable. La recevabilité des pièces nouvelles produites par les intimés peut demeurer indécise, car leur prise en compte ne conduirait pas la Cour à retenir une autre solution aux termes du présent arrêt. Il en va de même de celle produite par l'appelante à l'appui de sa réplique.</w:t>
      </w:r>
    </w:p>
    <w:p>
      <w:r>
        <w:rPr>
          <w:b/>
        </w:rPr>
        <w:t>E. 3</w:t>
      </w:r>
    </w:p>
    <w:p>
      <w:r>
        <w:t>Le Tribunal a retenu que la question de savoir si le loyer avait été valablement fixé était litigieuse, que l'avis de fixation ne saurait à lui seul suffire à conclure à la validité du loyer, les locataires ayant produit et invoqué de nombreuses pièces et arguments cohérents et importants. L'état de fait n'était donc pas clair et nécessitait une instruction plus complète des preuves, notamment en procédant à l'audition de témoins. L'appelante reproche au Tribunal d'avoir considéré que le cas n'était pas clair. Elle soutient que l'avis de fixation initial du loyer est suffisant à prouver la validité du loyer. Il n'y avait pas eu de changement d'affectation au sens de la LDTR, de sorte que le loyer n'avait pas à être approuvé. L'ancien locataire était une société qui existait depuis 20 ans. Les conditions de l'art. 257d CO étaient remplies et le cas était clair. Les intimés soutiennent que l'avis de fixation initial désigne un ancien locataire dont la raison sociale n'existe pas. Les locaux ne pouvaient être préalablement occupés comme logement, faute d'autorisation et d'approbation du loyer. Il n'y avait pas eu de bail précédent, lequel n'aurait été conclu que pour une période de deux mois.</w:t>
      </w:r>
    </w:p>
    <w:p>
      <w:r>
        <w:rPr>
          <w:b/>
        </w:rPr>
        <w:t>E. 3.1</w:t>
      </w:r>
    </w:p>
    <w:p>
      <w:r>
        <w:t>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3.1.2</w:t>
      </w:r>
    </w:p>
    <w:p>
      <w:r>
        <w:t>Le canton de Genève a fait usage de la faculté offerte par l'art. 270 al. 2 CO de rendre obligatoire, en cas de pénurie de logements, la formule officielle de fixation du loyer pour la conclusion de tout nouveau bail (art. 207 LaCC).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Il s'ensuit que, sous réserve d'un abus de droit, la sanction de l'absence de notification du loyer au moyen de la formule officielle, la notification au-delà des trente jours suivant la remise des locaux, l'absence ou l'insuffisance de la motivation, l'absence de signature manuscrite ou encore l'indication erronée, voire inexistante du précédent loyer entraîne la nullité partielle du bail limitée à la fixation du loyer (ATF 140 III 583 consid. 3.2.1 et 3.2.2; 120 II 341 consid. 5d). La notification viciée du loyer initial entraîne sa nullité. Le locataire peut alors faire fixer par le juge le "juste loyer". En cas de loyer initial nul, sous réserve d'abus manifeste de droit de sa part, le locataire n'est pas en demeure s'il ne s'acquitte pas du loyer prévu par le bail tant que le "juste loyer" n'a pas été fixé judiciairement (lachat, Le bail à loyer, Lausanne 2019, p.493 et 494). Le seul fait d'avoir payé, sans discuter, le loyer pendant un long laps de temps ne saurait, à lui seul, conduire à la conclusion que le locataire commet un abus de droit (ATF 138 III 401 consid. 2.3.3; arrêts 4A_38/2013 du 12 avril 2013 consid. 2.1, non publié in ATF 139 III 249 , mais in Pra 2013 n° 113 p. 876; 4A_647/2011 du 26 janvier 2012 consid. 4.2; 4A_490/2011 du 10 janvier 2012 consid. 3.2; 4A_129/2011 du 28 avril 2011 consid. 2.3, résumé in JdT 2012 II p. 113). Au titre de l'utilisation d'une institution juridique de façon contraire à son but, la jurisprudence a retenu, entre autre exemple, que le locataire qui soulève la nullité du loyer conclu pour s'opposer à la résiliation immédiate du contrat et à son expulsion commet un abus de droit (ATF 137 III 547 consid. 2.3 p. 549; arrêt 4C_315/2000 du 5 février 2001 consid. 4c, in CdB 2001 p. 77, mentionné dans l'arrêt 4A_129/2011 déjà cité, consid. 2.3; cf. également ATF 138 III 401 consid. 2.4). Les circonstances fondant l'abus de droit du locataire doivent être alléguées et prouvées par le bailleur (lachat, op. cit., p. 496).</w:t>
      </w:r>
    </w:p>
    <w:p>
      <w:r>
        <w:rPr>
          <w:b/>
        </w:rPr>
        <w:t>E. 3.1.3</w:t>
      </w:r>
    </w:p>
    <w:p>
      <w:r>
        <w:t>Par transformation, on entend tous les travaux qui ont pour objet de modifier l'architecture, le volume, l'implantation, la destination, la distribution intérieure de tout ou partie d'une maison d'habitation ou la création de nouveaux logements, notamment dans les combles (art. 3 al. 1 let. a et b LDTR). Une autorisation est nécessaire pour toute transformation ou rénovation au sens de l'art. 3 al. 1 LDTR (art. 9 al. 1 LDTR). Le département fixe, comme condition de l'autorisation, le montant maximum des loyers des logements après travaux (art. 10 al. 1 LDTR). Sous réserve de l'article 3, alinéa 4 LDTR, nul ne peut, sauf si une dérogation lui est accordée au sens de l'article 8, changer l'affectation de tout ou partie d'un bâtiment au sens de l'article 2, alinéa 1, occupé ou inoccupé (art. 7 LDTR). Il n'y a pas de changement d'affectation au sens de la LDTR lorsque des locaux à usage commercial, administratif, artisanal ou industriel sont affectés à l'habitation. ( ) Le loyer ou le prix des locaux convertis en logement ne peut pas être contrôlé au sens de la loi. Est réservé l'éventuel contrôle existant déjà au sens d'une autre loi en matière d'immeubles subventionnés et se poursuivant aux conditions de celle-ci (art. 3 al. 4 LDTR). Sur tout le territoire du canton nul ne peut, sans y avoir été autorisé, modifier même partiellement le volume, l'architecture, la couleur, l'implantation, la distribution ou la destination d'une construction ou d'une installation (art. 1 let. b LC).</w:t>
      </w:r>
    </w:p>
    <w:p>
      <w:r>
        <w:rPr>
          <w:b/>
        </w:rPr>
        <w:t>E. 3.2</w:t>
      </w:r>
    </w:p>
    <w:p>
      <w:r>
        <w:t>En l'espèce, c'est à bon droit que le Tribunal a considéré que la situation n'était pas claire. En effet, il ressort des courriers des services du Département du territoire des 21 juillet 2020 et 16 octobre 2020 à l'appelante, que l'aménagement des combles en appartement (celui occupé par les intimés) pourrait avoir été effectué sans autorisation au sens de la LDTR ou de la LCI. La procédure administrative y relative est toujours pendante. En lien avec ce qui précède, la question de savoir si le montant du loyer était soumis ou non à autorisation est litigieuse et ne peut être immédiatement tranchée. Il est ainsi vraisemblable que l'issue de la procédure administrative pourrait avoir une incidence sur la validité du loyer fixé dans l'avis initial, respectivement sur celle du bail lui-même. S'agissant de l'ancien locataire, son identité ne fait aucun doute et une consultation attentive du Registre du commerce aurait permis aux intimés de la connaître. Cependant, le but de F______ SA et la durée du bail précédent, à savoir deux mois, ne manquent pas de surprendre s'agissant entre autres de l'utilisation des locaux comme logement et nécessiteront des investigations, comme l'a justement relevé le Tribunal, afin de s'assurer de l'exactitude des allégations de l'appelante, contestée par les intimés. Ces éléments pourraient avoir une incidence sur la validité de l'avis de fixation initial du loyer. S'il s'avérait à l'issue des différentes procédures pendantes (administrative et en fixation du loyer notamment) que l'avis initial était nul, la résiliation pour défaut de paiement serait elle aussi remise en cause, les locataires ne pouvant se trouver en demeure. L'appelante s'est limitée à alléguer que les intimés commettraient un abus de droit en faisant valoir la nullité du loyer, sans fournier d'éléments concrets à cet égard. Or, les éléments du dossier ne permettent pas de retenir de manière claire que tel serait le cas. Les éléments qui précèdent suffisent à considérer que le cas n'est pas clair. C'est dès lors à bon droit que les premiers juges ont retenu que les conditions du cas clair n'étaient pas réunies et ont déclaré la requête irrecevable. Compte tenu de ce qui précède il n'est pas nécessaire d'examiner les autres griefs soulevés par l'appelante contre le jugement entrepris, lequel sera ainsi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7 mai 2021 par A______ SA contre le jugement JTBL/365/2021 rendu le 22 avril 2021 par le Tribunal des baux et loyers dans la cause C/3178/2021-7-SE. Au fond : Confirme ce jugement. Dit que la procédure est gratuite. Déboute les parties de toutes autres conclusions. Siégeant : Madame Pauline ERARD, présidente; Monsieur Laurent RIEBEN, Madame Fabienne GEISINGER-MARIETHOZ,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