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C/30598/2006 vom 20. März 2009</w:t>
      </w:r>
    </w:p>
    <w:p>
      <w:r>
        <w:t>GE Cour de justice, 2009-03-20, FR</w:t>
      </w:r>
    </w:p>
    <w:p>
      <w:r>
        <w:rPr>
          <w:b/>
        </w:rPr>
        <w:t xml:space="preserve">Quelle: </w:t>
      </w:r>
      <w:r>
        <w:t>https://mcp.opencaselaw.ch/entscheid/ge_gerichte_C_30598_2006</w:t>
      </w:r>
    </w:p>
    <w:p>
      <w:r>
        <w:t>FR: GE_GERICHTE C/30598/2006 du 20 mars 2009</w:t>
      </w:r>
    </w:p>
    <w:p>
      <w:r>
        <w:t>IT: GE_GERICHTE C/30598/2006 del 20 marzo 2009</w:t>
      </w:r>
    </w:p>
    <w:p>
      <w:pPr>
        <w:pStyle w:val="Heading2"/>
      </w:pPr>
      <w:r>
        <w:t>Regeste</w:t>
      </w:r>
    </w:p>
    <w:p>
      <w:r>
        <w:t>; GAGE MOBILIER ; NANTISSEMENT ; POSSESSION | CC.884.3</w:t>
      </w:r>
    </w:p>
    <w:p>
      <w:pPr>
        <w:pStyle w:val="Heading2"/>
      </w:pPr>
      <w:r>
        <w:t>Erwägungen</w:t>
      </w:r>
    </w:p>
    <w:p>
      <w:r>
        <w:rPr>
          <w:b/>
        </w:rPr>
        <w:t>E. 43</w:t>
      </w:r>
    </w:p>
    <w:p>
      <w:r>
        <w:t>II 15 (publié in JT 1917 I 392 ) cité par l'appelante, le Tribunal fédéral, statuant sur la problématique de la dualité de fonctions, avait nié la validité de la constitution de gages du fait que le possesseur était un employé de la société constituante, qu'il recevait ses instructions du président du conseil d'administration de cette dernière et qu'il laissait le magasinier de la société prélever des marchandises sur le stock remis en gage; il existait donc dans ce cas une confusion inadmissible entre sa qualité de représentant du créancier gagiste et sa qualité d'employé de la constituante. 2.3. En l'espèce, il est établi que les machines objets des nantissements litigieux sont d'un poids et d'un volume tels qu'elles sont difficiles à déplacer. Il ressort en outre des photographies produites en première instance par l'appelante sous pièce 41 que l'aménagement autour de ces machines est constitué de parois grillagées d'une hauteur d'homme posées sur de larges pieds, attachées les unes aux autres par une chaîne et un cadenas et sur lesquelles sont disposées plusieurs pancartes indiquant "PLEDGED BY Y.______ HOLDING BV" . Le premier juge a ainsi retenu à tort que "les grillages érigés, symboliques, pouvaient en outre être enlevés sans difficulté" . Tel ne pouvait en effet être le cas sans qu'une chaîne, un cadenas ou une grille soit sciée, soit en procédant clandestinement ou de force par la commission d'actes pénalement répréhensibles. Il sera donc retenu que l'aménagement litigieux était de nature à priver l'intimée de la possession exclusive sur les biens gagés. 2.4. Les clés des locaux étaient certes détenues exclusivement par X.______, alors que les clés des cadenas étaient détenues exclusivement par l'appelante. X.______ disposait ainsi de la maîtrise exclusive sur ses locaux et était à même d'empêcher l'appelante d'accéder à l'espace grillagé. L'éventualité que l'appelante soit effectivement empêchée d'accès était toutefois peu probable compte tenu de la dualité de fonctions de Y.______, dont la problématique sera examinée ci-après. Il convient ainsi de retenir que le constituant et la créancière gagiste ne pouvaient exercer qu'ensemble la maîtrise de fait sur les choses nanties, de telle sorte qu'ils détenaient la possession en main commune sur ces objets. En ce qui concerne, enfin, la question de la dualité de fonctions de Y.______, l'argumentation du premier juge - selon laquelle, quand bien même il ne l'avait pas fait, ce dernier aurait pu vouloir exercer la maîtrise sur les machines nanties dans l'intérêt de X.______, recoupant son intérêt propre, permettant à la constituante de continuer à exercer la maîtrise effective sur lesdites machines - ne saurait être suivie. En effet, on voit mal comment les intérêts propres de Y.______ auraient pu se confondre avec ceux de X.______. En sa qualité d'ayant droit économique de X.______, Y.______ ne pouvait pas méconnaître le fait - au demeurant notoire - que X.______ se trouvait en proie à d'importantes difficultés financières. Agir en faveur de cette dernière aurait constitué un risque de perdre les investissements octroyés par l'appelante. Il convient ainsi de retenir, compte tenu des circonstances du cas d'espèce ainsi que des intérêts et des enjeux en présence, que la dualité de fonctions de l'intéressé n'était pas à même d'empêcher que les nantissements litigieux soient valablement constitués. 2.5. Il s'ensuit que le jugement entrepris doit être annulé. Il sera dès lors ordonné que l'état de collocation soit rectifié en ce sens que la créance de l'appelante d'un montant total de 10'304'556 fr. soit inscrite à raison de 1'622'670 fr. en qualité de créance garantie par gages, à raison de 3'626'886 fr. en 3 ème classe et à raison de 5'055'000 en 3 ème classe postposée. 3. L'appelante obtient ainsi gain de cause sur le plein de ses conclusions, à l'exception de sa créance d'un montant de 450'000 fr. pour laquelle elle a renoncé à faire appel. L'intimée, qui succombe pour l'essentiel, sera dès lors condamnée aux dépens de première et de seconde instance, lesquels comprendront une indemnité de procédure à titre de participation aux honoraires d'avocat de sa partie adverse (art. 176 al. 1, 181 et 313 LPC). Compte tenu du travail fourni par l'avocat et de la valeur litigieuse, l'indemnité de procédure sera fixée à 25'000 fr. pour les deux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