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C/30577/2017 vom 8. Februar 2021</w:t>
      </w:r>
    </w:p>
    <w:p>
      <w:r>
        <w:t>GE Cour de justice, 2021-02-08, FR</w:t>
      </w:r>
    </w:p>
    <w:p>
      <w:r>
        <w:rPr>
          <w:b/>
        </w:rPr>
        <w:t xml:space="preserve">Quelle: </w:t>
      </w:r>
      <w:r>
        <w:t>https://mcp.opencaselaw.ch/entscheid/ge_gerichte_C_30577_2017</w:t>
      </w:r>
    </w:p>
    <w:p>
      <w:r>
        <w:t>FR: GE_GERICHTE C/30577/2017 du 8 février 2021</w:t>
      </w:r>
    </w:p>
    <w:p>
      <w:r>
        <w:t>IT: GE_GERICHTE C/30577/2017 del 8 febbraio 2021</w:t>
      </w:r>
    </w:p>
    <w:p>
      <w:pPr>
        <w:pStyle w:val="Heading2"/>
      </w:pPr>
      <w:r>
        <w:t>Regeste</w:t>
      </w:r>
    </w:p>
    <w:p>
      <w:r>
        <w:t>339b.al1</w:t>
      </w:r>
    </w:p>
    <w:p>
      <w:pPr>
        <w:pStyle w:val="Heading2"/>
      </w:pPr>
      <w:r>
        <w:t>Erwägungen</w:t>
      </w:r>
    </w:p>
    <w:p>
      <w:r>
        <w:rPr>
          <w:b/>
        </w:rPr>
        <w:t>E. 1</w:t>
      </w:r>
    </w:p>
    <w:p>
      <w:r>
        <w:t>1.1 L'appel, écrit et motivé, formé dans les trente jours, est recevable contre les décisions finales de première instance, lorsque la valeur litigieuse est supérieure à 10'000 fr. (art. 308, 311 CPC).</w:t>
      </w:r>
    </w:p>
    <w:p>
      <w:r>
        <w:rPr>
          <w:b/>
        </w:rPr>
        <w:t>E. 1.2</w:t>
      </w:r>
    </w:p>
    <w:p>
      <w:r>
        <w:t>En l'espèce, la valeur litigieuse est supérieure à 10'000 fr. de sorte que la voie de l'appel est ouverte. L'appel a été en outre interjeté dans le délai et selon les formes prévues par la loi (art. 311 CPC), de sorte qu'il est recevable.</w:t>
      </w:r>
    </w:p>
    <w:p>
      <w:r>
        <w:rPr>
          <w:b/>
        </w:rPr>
        <w:t>E. 1.3</w:t>
      </w:r>
    </w:p>
    <w:p>
      <w:r>
        <w:t>La Chambre de céans revoit la cause en fait et en droit avec un plein pouvoir d'examen (art. 310 CPC).</w:t>
      </w:r>
    </w:p>
    <w:p>
      <w:r>
        <w:rPr>
          <w:b/>
        </w:rPr>
        <w:t>E. 2</w:t>
      </w:r>
    </w:p>
    <w:p>
      <w:r>
        <w:t>2.1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A teneur de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Selon l'art. 229 al. 1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(al. 1). S'il n'y a pas eu de second échange d'écritures ni de débats d'instruction, les faits et moyens de preuves nouveaux sont admis à l'ouverture des débats principaux (art. 229 al. 2 CPC).</w:t>
      </w:r>
    </w:p>
    <w:p>
      <w:r>
        <w:rPr>
          <w:b/>
        </w:rPr>
        <w:t>E. 2.2</w:t>
      </w:r>
    </w:p>
    <w:p>
      <w:r>
        <w:t>En l'espèce, la pièce 8 nouvelle produite par l'appelant est irrecevable car elle est antérieure à la date à laquelle la cause a été gardée à juger devant le Tribunal et aurait pu être produite en première instance. L'appelant a formulé pour la première fois devant la Cour sa demande relative à l'ordonnance d'une expertise du droit [de] A______. Cette demande est tardive au regard des exigences de l'art 317 CPC, est par conséquent irrecevable. Ses allégations relatives à un changement de pratique en 2013 et au défaut de ratification du contrat de l'intimé par le Ministère des affaires étrangères, formulées pour la première fois respectivement dans ses plaidoiries finales devant le Tribunal et devant la Cour, sont également tardives et irrecevables car elles ne répondent pas aux conditions des articles 317, 227 et 229 CPC. En tout état de cause, la réalité de ces allégations, contestées par l'intimé, n'est pas établie.</w:t>
      </w:r>
    </w:p>
    <w:p>
      <w:r>
        <w:rPr>
          <w:b/>
        </w:rPr>
        <w:t>E. 3</w:t>
      </w:r>
    </w:p>
    <w:p>
      <w:r>
        <w:t>Le Tribunal a retenu que les relations entre les parties étaient soumises au droit suisse. Les témoignages recueillis démontraient que l'appelant s'était engagé à verser à ses employés à Genève une indemnité de départ équivalente à un mois de salaire pour chaque année de service, suite à une modification de la législation [de] A______. Le fait que certains témoins travaillaient pour des départements différents de celui de l'intimé n'était pas déterminant car leur employeur était le même à savoir l'Etat de A______. Le fait que tous les employés à l'étranger de l'appelant étaient traités de la même façon était confirmé par l'intitulé du contrat conclu avec l'intimé en 1997. Le montant élevé de l'indemnité de départ était justifié par le fait que l'intimé n'avait jamais cotisé pour sa prévoyance professionnelle. L'appelant fait valoir que l'intimé n'a pas démontré avoir signé en 2009 un contrat prévoyant une indemnité de départ d'un montant équivalent à un mois de salaire par année de service. Le décret 1______ n'était pas applicable in casu car il régissait uniquement les relations de travail de nature privée en A______ et non celles de nature publique à l'étranger. Les relations entre les missions à l'étranger et le personnel non A______ étaient régies par le "Legislative Regulation 2______". Rien ne permettait de retenir que tous les employés des représentations [du] A______ à l'étranger étaient soumis aux mêmes dispositions contractuelles. La situation des témoins C______ et D______ n'était pas la même que celle de l'intimé, car ils n'étaient pas employés pour la Mission permanente et n'avaient pas le même nombre d'années de service. Les déclarations des témoins E______ et F______ n'étaient pas crédibles car ils étaient eux-mêmes en litige avec l'appelant. L'indemnité allouée par le Tribunal était excessive, il incombait à l'intimé de cotiser de manière volontaire pour sa retraite pendant les relations contractuelles.</w:t>
      </w:r>
    </w:p>
    <w:p>
      <w:r>
        <w:rPr>
          <w:b/>
        </w:rPr>
        <w:t>E. 3.1</w:t>
      </w:r>
    </w:p>
    <w:p>
      <w:r>
        <w:t>.1 A teneur de l'article 339b al. 1 CO, si les rapports de travail d'un travailleur âgé d'au moins 50 ans prennent fin après vingt ans ou plus, l'employeur verse au travailleur une indemnité à raison de ces longs rapports de travail. Selon l'article 339c al. 1 CO, le montant de l'indemnité peut être fixé par accord écrit, contrat-type de travail ou convention collective, mais ne doit pas être inférieur au montant du salaire pour deux mois. L'indemnité de départ vise en premier lieu un but de prévoyance (ATF 115 II 30 , JT 1989 I 601 ).</w:t>
      </w:r>
    </w:p>
    <w:p>
      <w:r>
        <w:rPr>
          <w:b/>
        </w:rPr>
        <w:t>E. 3.1.2</w:t>
      </w:r>
    </w:p>
    <w:p>
      <w:r>
        <w:t>En application de l'art. 157 CPC, le tribunal établit sa conviction par une libre appréciation des preuves administrées. Selon la doctrine et la jurisprudence, le droit privé fédéral prescrit, dans son champ d'application, une certaine règle quant au degré de la preuve . Il en résulte qu'une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Une réduction du degré de preuve exigible suppose toutefois qu'en raison de la nature même de la cause, une preuve stricte ne soit pas possible ou ne puisse être exigée. Dans son résultat, cette réduction ne doit pas conduire à un renversement du fardeau de la preuve . La partie chargée de la preuve doit alléguer et prouver, autant que possible et autant qu'on peut l'exiger, toutes les circonstances qui indiquent que les faits allégués se sont bien produits (ATF 128 III 271 consid. 2b/aa, JdT 2003 I 606).</w:t>
      </w:r>
    </w:p>
    <w:p>
      <w:r>
        <w:rPr>
          <w:b/>
        </w:rPr>
        <w:t>E. 3.1.3</w:t>
      </w:r>
    </w:p>
    <w:p>
      <w:r>
        <w:t>Selon l'art. 164 CPC, si une partie refuse de collaborer sans motif valable, le tribunal en tient compte dans l'administration des preuves. L'art. 164 CPC ne précise pas les conclusions que le tribunal doit tirer, dans l'appréciation des preuves, d'un refus de collaborer . Il n'est notamment pas prescrit que le tribunal devrait nécessairement en déduire que les allégués de la partie adverse sont véridiques . Au contraire, le refus injustifié de collaborer ne constitue qu'une circonstance parmi d'autres à prendre en considération dans la libre appréciation des preuves (ATF 140 III 264 consid. 2.3).</w:t>
      </w:r>
    </w:p>
    <w:p>
      <w:r>
        <w:rPr>
          <w:b/>
        </w:rPr>
        <w:t>E. 3.2</w:t>
      </w:r>
    </w:p>
    <w:p>
      <w:r>
        <w:t>En l'espèce, il n'est pas contesté que le présent litige est soumis au droit suisse en application de l'art. 121 al. 1 LDIP, aucune élection de droit n'ayant été convenue entre les parties. Les allégations de l'intimé selon lesquelles il a signé en 2009, comme les autres employés de la Mission auprès de l'ONU de l'appelant, un nouveau contrat dont il n'a pas reçu copie ont été confirmées par les témoins E______ et F______. Ceux-ci ont en effet déclaré que les employés de la mission avaient signé un nouveau contrat en 2009 mais n'en avaient pas reçu copie. La seule possible exception qui concernait, selon le témoin E______, les chauffeurs, n'est pas pertinente pour le présent litige. Le fait que le témoin précité soit en litige avec l'appelant ne suffit pas à ôter toutes crédibilité à son témoignage, qui est clair et cohérent. Le témoin F______ a en outre confirmé les affirmations de son ex-collègue, alors qu'il n'est pas en litige avec l'appelant. Dans la mesure où il est établi qu'un contrat, dont l'intimé n'a pas reçu copie, a été signé entre les parties en 2009, il incombait à l'appelant de déférer à l'injonction du Tribunal de produire ce contrat, ce qu'il n'a pas fait. Ce faisant, il a contrevenu à son obligation de collaboration, ce dont il convient de tenir compte dans l'appréciation des preuves. L'ensemble des éléments du dossier, en particulier les témoignages recueillis, permet de retenir que la teneur du contrat signé entre les parties en 2009 est établie, de manière à ce que d'éventuels doutes à cet égard paraissent insignifiants. Les témoins E______ et F______ ont en effet affirmé que les contrats signés par les employés de la Mission permanente de l'appelant en 2009 prévoyaient une indemnité de départ d'un mois par année de service, sans limitation dans le temps. Ce qui précède est corroboré par les déclarations des témoins C______ et D______, qui ont affirmé avoir reçu, à la fin de leur contrat, une indemnité correspondant à un mois de leur dernier salaire pour chaque année de service effectuée. Le fait que ces témoins travaillaient pour la Mission auprès de l'OMC et le Bureau de l'attaché commercial de l'intimé, et non pour sa Mission permanente auprès de l'ONU n'est pas déterminant. En effet, comme l'a relevé le Tribunal, toutes ces entités, qui représentent l'appelant, n'ont pas de personnalité juridique distincte de celle de ce dernier. Il ressort en outre des pièces produites par le témoin C______ que le Bureau de l'attaché commercial de l'appelant fait partie de la Mission permanente auprès des Nations unies de celui-ci. Selon sa carte de légitimation, ce témoin était ainsi employé de la Mission permanente de l'appelant auprès de l'ONU, à l'instar de l'intimé. L'intitulé du contrat de 1997 produit par l'intimé, lequel mentionne qu'il s'agit d'un contrat de travail destiné aux employés des représentations du A______ à l'étranger, confirme qu'aucune distinction du point de vue des contrats régissant les rapports de travail n'était faite par l'appelant entre les employés des différentes entités le représentant à Genève. Le fait que les témoins C______ et D______ aient moins d'années d'ancienneté que l'intimé n'est pas déterminant. En particulier, il n'est pas établi que l'appelant serait "ruiné" s'il devait verser à l'intimé l'indemnité de départ allouée par le Tribunal. Les objections présentées par l'appelant devant la Cour ne sont pas convaincantes. Elles le sont d'autant moins qu'il aurait eu la possibilité, pour établir la véracité de ses dires, de produire le contrat signé entre les parties en 2009, ce qu'il n'a pas fait. En particulier, les attestations rédigées par l'ambassadeur et le responsable des ressources humaines de la Mission permanente, qui n'ont pas été confirmées par leurs auteurs devant le Tribunal, selon les formes prévues par la loi, sont dénuées de force probante. Il ressort ainsi de ce qui précède que l'intimé a établi ses allégations selon lesquelles les parties avaient signé en 2009 un contrat de travail établi sur le même modèle que le contrat vierge qu'il a produit sous pièce 4. L'art. 16 de ce contrat prévoit que l'indemnité de départ correspond à un mois du salaire de l'employé pour chaque année de service. Une indemnité supplémentaire de deux mois de salaire est prévue par l'art. 17 al. 3 dudit contrat dans l'hypothèse où l'employé a atteint l'âge de la retraite, ce qui est le cas de l'intimé. L'appelant n'a pas critiqué dans son appel le montant du salaire à prendre en considération pour le calcul de l'indemnité de départ, ni n'a contesté en première instance les allégations de sa partie adverse sur ce point. Ses allégations selon lesquelles le salaire à prendre en considération serait celui de 2009, en 5'410 fr. par mois, et non le dernier salaire versé, formulées pour la première fois dans sa réplique, sont tardives. En tout état de cause, la réalité de ces allégations n'est étayée par aucun élément du dossier, étant précisé qu'aucune pièce n'atteste du montant du salaire de l'intimé en 2009. Ces allégations sont qui plus est contredites par les déclarations des témoins C______ et D______ qui ont indiqué avoir reçu une indemnité de départ calculée sur la base de leur dernier salaires, toutes indemnités comprises. L'appelant fait en outre valoir que le montant alloué par le Tribunal est excessif, sans expliquer précisément pour quel motif et quelle conséquence il faudrait en tirer. Ce montant étant prévu contractuellement, il n'y a pas lieu de le réduire. Au demeurant, c'est à juste titre que le Tribunal a relevé que, dans la mesure où l'intimé n'a pas cotisé à la prévoyance professionnelle pendant ses 40 années de services, le montant qui lui est accordé est adéquat au regard du but de prévoyance de l'indemnité de départ. Les chiffres 2 et 3 du dispositif du jugement querellé doivent par conséquent être confirmés.</w:t>
      </w:r>
    </w:p>
    <w:p>
      <w:r>
        <w:rPr>
          <w:b/>
        </w:rPr>
        <w:t>E. 4</w:t>
      </w:r>
    </w:p>
    <w:p>
      <w:r>
        <w:t>Le Tribunal a condamné l'appelant à remettre à l'intimé un certificat de travail, relevant que l'appelant n'avait pas prouvé avoir produit un tel document. L'appelant fait valoir que le chiffre 4 du dispositif du jugement querellé doit être annulé au motif qu'un certificat de travail a déjà été remis à l'intimé les 15 mars 2018 et 25 janvier 2019. L'appelant n'établit cependant pas avoir produit devant le Tribunal des pièces démontrant que le certificat de travail a bien été remis à l'intimé. Ce grief doit par conséquent être écarté. Le jugement querellé sera dès lors entièrement confirmé.</w:t>
      </w:r>
    </w:p>
    <w:p>
      <w:r>
        <w:rPr>
          <w:b/>
        </w:rPr>
        <w:t>E. 5</w:t>
      </w:r>
    </w:p>
    <w:p>
      <w:r>
        <w:t>Les frais judiciaires seront mis à charge de l'appelant, qui succombe (art. 106 al. 1 CPC). Ils seront arrêtés à 2'500 fr. (art. 71 du RTFMC) et compensés avec l'avance versée par l'appelant, acquise à l'Etat de Genève. Il ne sera pas alloué de dépens (art. 22 al. 2 LaCC). * * * * * PAR CES MOTIFS, La Chambre des prud'hommes, groupe 5 : A la forme : Déclare recevable l'appel formé A______ contre le jugement JTPH/201/2020 rendu le 8 juin 2020 par le Tribunal des prud'hommes dans la cause C/30577/2017. Au fond : Confirme le jugement querellé. Déboute les parties de toutes autres conclusions. Sur les frais : Met à charge du A______ les frais judiciaires d'appel arrêtés à 2'500 fr. et compensés avec l'avance versée, acquise à l'Etat de Genève. Dit qu'il n'est pas alloué de dépens. Siégeant : Madame Fabienne GEISINGER-MARIETHOZ, présidente; Madame Anne-Christine GERMANIER,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