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C/30283/2018 vom 13. August 2020</w:t>
      </w:r>
    </w:p>
    <w:p>
      <w:r>
        <w:t>GE Cour de justice, 2020-08-13, FR</w:t>
      </w:r>
    </w:p>
    <w:p>
      <w:r>
        <w:rPr>
          <w:b/>
        </w:rPr>
        <w:t xml:space="preserve">Quelle: </w:t>
      </w:r>
      <w:r>
        <w:t>https://mcp.opencaselaw.ch/entscheid/ge_gerichte_C_30283_2018</w:t>
      </w:r>
    </w:p>
    <w:p>
      <w:r>
        <w:t>FR: GE_GERICHTE C/30283/2018 du 13 août 2020</w:t>
      </w:r>
    </w:p>
    <w:p>
      <w:r>
        <w:t>IT: GE_GERICHTE C/30283/2018 del 13 agosto 2020</w:t>
      </w:r>
    </w:p>
    <w:p>
      <w:pPr>
        <w:pStyle w:val="Heading2"/>
      </w:pPr>
      <w:r>
        <w:t>Regeste</w:t>
      </w:r>
    </w:p>
    <w:p>
      <w:r>
        <w:t>CPC.59.al2.letb; CPC.60; CL.19; CPC.34</w:t>
      </w:r>
    </w:p>
    <w:p>
      <w:pPr>
        <w:pStyle w:val="Heading2"/>
      </w:pPr>
      <w:r>
        <w:t>Erwägungen</w:t>
      </w:r>
    </w:p>
    <w:p>
      <w:r>
        <w:rPr>
          <w:b/>
        </w:rPr>
        <w:t>E. 1</w:t>
      </w:r>
    </w:p>
    <w:p>
      <w:r>
        <w:t>1.1 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w:t>
      </w:r>
    </w:p>
    <w:p>
      <w:r>
        <w:rPr>
          <w:b/>
        </w:rPr>
        <w:t>E. 1.2</w:t>
      </w:r>
    </w:p>
    <w:p>
      <w:r>
        <w:t>L'appel peut être formé pour violation du droit et constatation inexacte des faits (art. 310 CPC).</w:t>
      </w:r>
    </w:p>
    <w:p>
      <w:r>
        <w:rPr>
          <w:b/>
        </w:rPr>
        <w:t>E. 1.3</w:t>
      </w:r>
    </w:p>
    <w:p>
      <w:r>
        <w:t>La valeur litigieuse étant inférieure à 30'000 fr., les dispositions de la procédure simplifiée s'appliquent (art. 243 al. 1 CPC), soit en particulier la maxime inquisitoriale sociale (art. 247 al. 2 let. b ch. 1 CPC). Cette maxime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(ATF 141 III 569 consid. 2.3.1).</w:t>
      </w:r>
    </w:p>
    <w:p>
      <w:r>
        <w:rPr>
          <w:b/>
        </w:rPr>
        <w:t>E. 2</w:t>
      </w:r>
    </w:p>
    <w:p>
      <w:r>
        <w:t>Les parties forment des allégués nouveaux et l'appelant produit des pièces nouvelles.</w:t>
      </w:r>
    </w:p>
    <w:p>
      <w:r>
        <w:rPr>
          <w:b/>
        </w:rPr>
        <w:t>E. 2.1</w:t>
      </w:r>
    </w:p>
    <w:p>
      <w:r>
        <w:t>Aux termes de l'art. 317 al. 1 CPC - qui s'applique aussi aux causes régies par la maxime inquisitoire sociale (ATF 144 III 349 consid. 4.2.1) -,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S'agissant des vrais nova , soit les faits et moyens de preuve postérieurs à la fin des débats principaux de première instance (cf. art. 229 CPC), ils sont en principe toujours admissibles en appel, pourvu qu'ils soient invoqués sans retard dès leur découverte. Quant aux pseudo nova ,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arrêt du Tribunal fédéral 4A_508/2016 du 16 juin 2017 consid. 4.1). Le plaideur qui fait valoir des pseudo nova devant l'instance d'appel doit exposer précisément les raisons pour lesquelles il ne les a pas invoqués en première instance (ATF 144 III 349 consid. 4.2.1).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4A_303/2018 du 17 octobre 2018 consid. 3.2; 4A_334/2012 du 16 octobre 2012 consid. 3.1).</w:t>
      </w:r>
    </w:p>
    <w:p>
      <w:r>
        <w:rPr>
          <w:b/>
        </w:rPr>
        <w:t>E. 2.2</w:t>
      </w:r>
    </w:p>
    <w:p>
      <w:r>
        <w:t>En l'espèce, les allégués nouveaux des parties figurant dans l'appel, dans la réponse et dans la réplique sont irrecevables, puisqu'ils auraient pu être formés en première instance. Il en va de même des pièces nouvelles que l'appelant a produites avec l'appel et avec la réplique. La pièce déposée par l'intimée avec sa duplique est aussi irrecevable, dans la mesure où elle n'a pas été produite sans retard, soit avec la réponse; cette pièce n'est de toute façon pas déterminante pour la solution du litige (cf. ci-dessous consid. 4).</w:t>
      </w:r>
    </w:p>
    <w:p>
      <w:r>
        <w:rPr>
          <w:b/>
        </w:rPr>
        <w:t>E. 3</w:t>
      </w:r>
    </w:p>
    <w:p>
      <w:r>
        <w:t>Le Tribunal a considéré qu'il n'était pas compétent à raison du lieu pour connaître de la demande de l'appelant - dans la mesure où l'intimée était sise à Zurich et où l'appelant n'avait pas exercé son activité dans le canton de Genève - et qu'il n'était pas nécessaire d'examiner si les parties avaient été liées par un contrat de travail. L'appelant fait grief au Tribunal d'avoir nié à tort la compétence à raison du lieu. L'intimée persiste à contester ladite compétence, ainsi que l'existence d'un contrat de travail.</w:t>
      </w:r>
    </w:p>
    <w:p>
      <w:r>
        <w:rPr>
          <w:b/>
        </w:rPr>
        <w:t>E. 3.1.1</w:t>
      </w:r>
    </w:p>
    <w:p>
      <w:r>
        <w:t>En vertu de l'art. 60 CPC, le tribunal examine d'office si les conditions de recevabilité d'une demande sont remplies, notamment s'il est compétent à raison de la matière et du lieu (art. 59 al. 2 let. b CPC). On ne peut pas déduire de l'obligation imposée au tribunal par cette disposition qu'il doive rechercher lui-même les faits justifiant la recevabilité de la demande. L'examen d'office ne dispense pas les parties de collaborer à l'établissement des faits, en alléguant ceux qui sont pertinents et en indiquant les moyens de preuve propres à les établir (arrêt du Tribunal fédéral 4A_510/2019 du 29 octobre 2019 consid. 4.1 et les références citées).</w:t>
      </w:r>
    </w:p>
    <w:p>
      <w:r>
        <w:rPr>
          <w:b/>
        </w:rPr>
        <w:t>E. 3.1.2</w:t>
      </w:r>
    </w:p>
    <w:p>
      <w:r>
        <w:t>Lorsqu'il statue d'entrée de cause sur sa compétence, le juge doit tout d'abord déterminer si le ou les faits pertinents de la disposition légale applicable sont des faits simples ou des faits doublement pertinents; les exigences de preuve, à ce stade de la procédure (décision d'entrée en matière), sont en effet différentes pour les uns et les autres (ATF 141 III 294 consid. 5.1). Les faits sont simples lorsqu'ils ne sont déterminants que pour la compétence. Ils doivent être prouvés d'entrée de cause, lorsque la partie défenderesse soulève l'exception de déclinatoire en contestant les allégués du demandeur (ATF 141 III 294 , précité, consid. 5.1). Sont des faits simples les éléments de localisation, à savoir le domicile, le siège du défendeur et le lieu de l'activité professionnelle habituelle (ATF 137 III 32 consid. 2.3 in fine). Les faits sont doublement pertinents ou de double pertinence lorsqu'ils sont déterminants tant pour la compétence du tribunal que pour le bien-fondé de l'action. A titre d'exemples, on peut citer la commission d'un acte illicite ou l'existence d'un contrat de travail (ATF 141 III 294 , précité, consid. 5.2; 137 III 32 consid. 2.3 in fine). Au stade de l'examen et de la décision sur la compétence, qui ont lieu d'entrée de cause, les faits doublement pertinents n'ont pas à être prouvés; le juge examine sa compétence sur la base des allégués, moyens et conclusions du demandeur, sans tenir compte des objections de la partie défenderesse. L'administration des preuves sur les faits doublement pertinents est renvoyée à la phase du procès au cours de laquelle est examiné le bien-fondé de la prétention au fond. Si, à ce stade ultérieur, le tribunal se rend compte que sa compétence n'est en réalité pas donnée, il ne peut rendre un nouveau jugement sur sa compétence, mais doit alors rejeter la demande par un jugement au fond, revêtu de l'autorité de chose jugée (ATF 141 III 294 , précité, consid. 5.2; arrêt du Tribunal fédéral 4A_75/2018 du 15 novembre 2018 consid. 3.2.1.1). Cette théorie de la double pertinence ne dispense pas le tribunal d'examiner d'entrée de cause si les faits doublement pertinents allégués par le demandeur - censés établis - sont concluants et permettent juridiquement de fonder sa compétence (ATF 141 III 294 , précité, consid. 5.2; arrêt du Tribunal fédéral 4A_573/2015 du 3 mai 2016 consid. 5.2.2). S'il se pose une question délicate de délimitation (par exemple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(ATF 137 III 32 , précité consid. 2.4.2; arrêts du Tribunal fédéral 4A_510/2019 , précité, consid. 2; 4A_573/2015 , précité, consid. 5.2.2; 4A_73/2015 du 26 juin 2015 consid. 4.2). 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(ATF 141 III 294 , précité, consid. 5.3; ATF 136 III 486 consid. 4).</w:t>
      </w:r>
    </w:p>
    <w:p>
      <w:r>
        <w:rPr>
          <w:b/>
        </w:rPr>
        <w:t>E. 3.1.3</w:t>
      </w:r>
    </w:p>
    <w:p>
      <w:r>
        <w:t>Le litige comporte un élément d'extranéité compte tenu du domicile de l'appelant en France. En principe, la compétence des autorités judiciaires suisses est régie par la Loi fédérale sur le droit international privé 18 décembre 1987 (ci-après : LDIP). Celle-ci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 er janvier 2011 (RS 0.275.12; ci-après : CL). 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 in Basler Kommentar, Lugano-Übereinkommen, 2011, n° 7 ad art. 19 CL). En Suisse, la compétence ratione loci interne est ainsi régie par l'art. 34 CPC (et non pas par l'art. 115 LDIP; Meyer/Stojilikovi, op. cit., n° 32 et 34 ad art. 19 CL). A teneur de l'art. 34 al. 1 CPC, les actions relevant du droit du travail peuvent être portées devant le tribunal du domicile ou du siège du défendeur, ou devant le tribunal du lieu où le travailleur exerce habituellement son activité professionnelle. A teneur de l'art. 35 al. 1 let. d CPC, le travailleur ne peut pas renoncer d'avance à ces fors. Selon la jurisprudence du Tribunal fédéral, le lieu de l'activité habituelle d'un travailleur est celui où se situe effectivement le centre de l'activité concernée. En accord avec la doctrine unanime, il est admis que lorsqu'un travailleur est occupé simultanément dans plusieurs lieux, celui de ces lieux qui se révèle manifestement central, du point de vue de l'activité fournie, détermine le for à l'exclusion des autres. Appliqué aux voyageurs de commerce et aux autres travailleurs affectés au service extérieur d'une entreprise, ce critère qualitatif détermine un rattachement géographique prépondérant, propre à fonder la compétence du for correspondant, au lieu où le travailleur planifie et organise ses déplacements, et accomplit ses tâches administratives; le cas échéant, ce lieu coïncide avec son domicile personnel (ATF 145 III 14 consid. 8; arrêt du Tribunal fédéral 4A_131/2019 du 11 septembre 2019 consid. 3).</w:t>
      </w:r>
    </w:p>
    <w:p>
      <w:r>
        <w:rPr>
          <w:b/>
        </w:rPr>
        <w:t>E. 3.2</w:t>
      </w:r>
    </w:p>
    <w:p>
      <w:r>
        <w:t>En l'espèce, l'appelant fait valoir des prétentions résultant d'un contrat de travail prétendument conclu avec l'intimée, sise à Zurich. Dans sa demande, il n'a formé aucun allégué au sujet du lieu où il avait exercé l'activité litigieuse. Interrogé par le Tribunal à ce sujet, il a déclaré qu'il avait travaillé à son gré depuis son domicile en France, à l'aide d'un ordinateur, ce qui avait d'ailleurs été convenu depuis le début avec l'associé gérant de l'intimée. Il a ajouté que l'adresse de son entreprise individuelle à Genève, soit rue 1______, était "une boîte postale", qu'il n'y avait pas de locaux à cette adresse et qu'il n'avait jamais été prévu d'en avoir. Une ligne "J______" était déviée sur son poste de travail à son domicile ou ailleurs. L'appelant - à qui il incombait de renseigner le juge sur les éléments de localisation pertinents et de lui indiquer les moyens de preuve propres à établir ceux-ci - n'a jamais prétendu qu'il avait exercé habituellement son activité à Genève. Il résulte au contraire de ses déclarations qu'il planifiait et organisait son activité, notamment ses éventuels déplacements en Suisse, et accomplissait ses tâches administratives depuis son domicile personnel, situé en France. Même si elles étaient recevables, ses allégations nouvelles ne permettraient pas de retenir un rattachement géographique prépondérant avec Genève, puisque l'appelant se borne à évoquer une activité exercée "essentiellement en Suisse", sans autre précision concernant le/les lieu-x. C'est donc à juste titre que le Tribunal a nié sa compétence à raison du lieu et déclaré ainsi irrecevable la demande de l'appelant. Il était donc superflu de déterminer si les allégués formés par l'appelant au sujet de l'existence d'une relation de travail étaient concluants ou manifestement faux. Le jugement attaqué sera donc confirmé.</w:t>
      </w:r>
    </w:p>
    <w:p>
      <w:r>
        <w:rPr>
          <w:b/>
        </w:rPr>
        <w:t>E. 4</w:t>
      </w:r>
    </w:p>
    <w:p>
      <w:r>
        <w:t>La procédure d'appel est gratuite (art. 114 let. c cum 116 al. 1 CPC; art. 19 al. 3 let. c LaCC) et ne donne pas lieu à l'allocation de dépens (art. 22 al. 2 LaCC). * * * * * PAR CES MOTIFS, La Chambre des prud'hommes, groupe 3 : A la forme : Déclare recevable l'appel formé le 16 mars 2020 par A______ contre le jugement JTPH/65/2020 rendu le 25 février 2020 par le Tribunal des prud'hommes dans la cause C/30283/2018-3. Au fond : Confirme le jugement attaqué. Dit qu'il n'est pas perçu de frais judiciaires ni alloué de dépens d'appel. Déboute les parties de toutes autres conclusions. Siégeant : Monsieur Ivo BUETTI, président;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