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C/2990/2009 vom 6. Januar 2010</w:t>
      </w:r>
    </w:p>
    <w:p>
      <w:r>
        <w:t>GE Cour de justice, 2010-01-06, FR</w:t>
      </w:r>
    </w:p>
    <w:p>
      <w:r>
        <w:rPr>
          <w:b/>
        </w:rPr>
        <w:t xml:space="preserve">Quelle: </w:t>
      </w:r>
      <w:r>
        <w:t>https://mcp.opencaselaw.ch/entscheid/ge_gerichte_C_2990_2009</w:t>
      </w:r>
    </w:p>
    <w:p>
      <w:r>
        <w:t>FR: GE_GERICHTE C/2990/2009 du 6 janvier 2010</w:t>
      </w:r>
    </w:p>
    <w:p>
      <w:r>
        <w:t>IT: GE_GERICHTE C/2990/2009 del 6 gennaio 2010</w:t>
      </w:r>
    </w:p>
    <w:p>
      <w:pPr>
        <w:pStyle w:val="Heading2"/>
      </w:pPr>
      <w:r>
        <w:t>Regeste</w:t>
      </w:r>
    </w:p>
    <w:p>
      <w:r>
        <w:t>CONTRAT INDIVIDUEL DE TRAVAIL; INFORMATIQUE; PART DE BÉNÉFICE; BONUS; CHIFFRE D'AFFAIRES; PRINCIPE DE LA CONFIANCE(INTERPRÉTATION DU CONTRAT) ; VOLONTÉ RÉELLE ; INTERPRÉTATION CONTRA STIPULATOREM ; FRAIS DE LA PROCÉDURE | Sur appel de T, engagée en qualité de directrice par E, entreprise active dans le domaine de l'informatique bancaire, la Cour confirme le jugement du Tribunal en retenant que le bonus contractuellement prévu par les parties devait être calculé sur la base du chiffre d'affaires composé exclusivement du produit de ventes de produits réalisés après l'entrée en fonction de T, à l'exclusion du chiffre d'affaires résultant de la maintenance et des services en relation avec ces produits. A l'appui de sa décision, la Cour a interprété la clause litigieuse à la lumière du principe de la confiance, en tenant compte notamment du fait que T avait fait valoir ses contacts avec le milieu bancaire lors des entretiens précontractuels, de sorte que E pouvait s'attendre à ce que l'engagement de T contribue à l'augmentation de son chiffre d'affaires par la conclusion de nouvelles ventes.</w:t>
      </w:r>
    </w:p>
    <w:p>
      <w:pPr>
        <w:pStyle w:val="Heading2"/>
      </w:pPr>
      <w:r>
        <w:t>Erwägungen</w:t>
      </w:r>
    </w:p>
    <w:p>
      <w:r>
        <w:rPr>
          <w:b/>
        </w:rPr>
        <w:t>E. 1.1</w:t>
      </w:r>
    </w:p>
    <w:p>
      <w:r>
        <w:t>Interjeté dans les formes et délai prévus par la loi (art. 59 de la loi sur la Juridiction des prud’hommes, ci-après LJP), le jugement querellé ayant été reçu par l'appelante le 11 janvier 2009 et l’acte d’appel ayant été posté le 10 février 2010, cet appel est recevable.</w:t>
      </w:r>
    </w:p>
    <w:p>
      <w:r>
        <w:rPr>
          <w:b/>
        </w:rPr>
        <w:t>E. 1.2</w:t>
      </w:r>
    </w:p>
    <w:p>
      <w:r>
        <w:t>Les parties ont été liées par un contrat de travail au sens des arts. 319 et suivants du Code des obligations (ci-après CO). La Juridiction des prud’hommes est par conséquent compétente à raison de la matière pour connaître du présent litige (art. 1 al.1 LJP). Elle l’est également à raison du lieu, dès lors que tant le siège de l'intimée que le lieu habituel de travail de l'appelante se trouvent dans le canton de Genève (art. 24 et 34 al.1 de la loi fédérale sur les fors en matière civile). Le jugement entrepris a été prononcé en premier ressort (art. 54 LJP a contrario), de sorte que la cognition de la présente Cour est complète (art. 291 LPC).</w:t>
      </w:r>
    </w:p>
    <w:p>
      <w:r>
        <w:rPr>
          <w:b/>
        </w:rPr>
        <w:t>E. 2</w:t>
      </w:r>
    </w:p>
    <w:p>
      <w:r>
        <w:t>Le contrat de travail de l'appelante respecte les dispositions impératives et semi-impératives du Code des Obligations (CO) y relatives, de sorte qu'il est applicable aux relations de travail entre les parties, les dispositions du CO s’appliquant de manière supplétive, le cas échéant.</w:t>
      </w:r>
    </w:p>
    <w:p>
      <w:r>
        <w:rPr>
          <w:b/>
        </w:rPr>
        <w:t>E. 3</w:t>
      </w:r>
    </w:p>
    <w:p>
      <w:r>
        <w:t>Préalablement à une analyse de la clause litigieuse relative au bonus réclamé par l'appelante, il convient de rappeler les principes de l'art. 322a CO dont les parties ne contestent pas, à juste titre, qu'il s'applique au cas d'espèce.</w:t>
      </w:r>
    </w:p>
    <w:p>
      <w:r>
        <w:rPr>
          <w:b/>
        </w:rPr>
        <w:t>E. 3.1</w:t>
      </w:r>
    </w:p>
    <w:p>
      <w:r>
        <w:t>Selon l'art. 322a CO, les parties peuvent convenir que le travailleur percevra une rémunération liée aux résultats de l’exploitation de l’entreprise. Cette forme de rémunération est en principe complémentaire au salaire de base et correspond à la notion de participation aux bénéfices et aux pertes prévue dans la société simple (art. 533 CO), à la différence que seule une participation aux bénéfices, et non aux pertes, est possible dans les rapports de travail. De plus, la participation aux résultats n’a de sens que pour les employés ayant une influence directe sur le résultat de l’entreprise (Wyler, Droit du travail 2 ème édition, p. 161 ; Staehelin, Commentaire zurichois, n° 1 ad. art. 322 CO ; Streiff/Von Kaenel, Leitfaden zum Arbeitsvertragsrecht, 6 ème édition p. 217/218 ; CAPH/110/2009 consid. 3b).</w:t>
      </w:r>
    </w:p>
    <w:p>
      <w:r>
        <w:rPr>
          <w:b/>
        </w:rPr>
        <w:t>E. 3.2</w:t>
      </w:r>
    </w:p>
    <w:p>
      <w:r>
        <w:t>. A titre de rémunération en sus du salaire convenu contractuellement par les parties en l'espèce, l'Annexe 2 du contrat de travail prévoyait le versement en faveur de l’appelante d’un « bonus » calculé sur la base d’un pourcentage du "chiffre d’affaires [s'appliquant] aux résultats réalisés avec les produits A_____ de E_____, à l'exclusion des produits tiers". Les parties divergent sur la portée du terme "chiffre d'affaires" susmentionné. L’appelante, par une interprétation littérale, y voit inclus, non seulement les ventes de produits A_____, mais aussi les revenus tirés de la maintenance et des services liés à ces produits. Elle allègue d'ailleurs n’avoir pas été engagée spécifiquement pour vendre des produits A_____, le démarchage des clients potentiels étant exclusivement confié à un consultant indépendant. L'intimée soutient avoir engagé l'appelante principalement pour la voir réaliser de nouvelles ventes de ses produits A_____ grâce à son réseau de relations importantes dans le monde bancaire, même si l’intimée ne conteste pas que ladite appelante a effectué d'autres tâches que le démarchage de nouveaux clients. En conséquence, elle considère - en interprétant la réelle et commune intention des parties sous l’angle de la bonne foi - que le bonus litigieux doit être calculé uniquement sur le chiffre d'affaires provenant, le cas échéant, des ventes desdits produits au cours des relations contractuelles entre les parties. Subsidiairement, elle fait valoir qu'une interprétation contra stipulatorem est opposable à l'appelante, en sa qualité de rédactrice de l'Annexe 2 à son contrat de travail.</w:t>
      </w:r>
    </w:p>
    <w:p>
      <w:r>
        <w:rPr>
          <w:b/>
        </w:rPr>
        <w:t>E. 3.2.1</w:t>
      </w:r>
    </w:p>
    <w:p>
      <w:r>
        <w:t>Il y a lieu de recourir à l'interprétation du contrat seulement si ses termes laissent planer un doute ou sont peu clairs. Il ressort, en effet, de l'art. 18 al. 1 CO que le sens d'un texte, même clair, n'est pas forcément déterminant et que l'interprétation purement littérale peut, au contraire, être prohibée. En effet, même si la teneur d'une clause contractuelle paraît claire à première vue, il peut résulter d'autres conditions du contrat, du but poursuivi par les parties ou d'autres circonstances que le texte de ladite clause ne restitue pas exactement le sens de l'accord conclu (ATF 131 III 606 consid. 4.2 ; ATF 131 III 280 consid. 3.1 ; ATF 130 III 417 consid. 3.2  ; ATF 127 III 444 consid. 1b ); il n'y a cependant pas lieu de s'écarter du sens littéral du texte adopté par les intéressés lorsqu'il n'y a pas de raisons sérieuses de penser qu'il ne correspond pas à leur volonté (ATF 130 III 417 consid. 3.2 ; ATF 129 III 118 consid. 2.5). S'il y a lieu à interprétation du contrat, il faut rechercher, pour apprécier sa forme et ses clauses, la réelle et commune intention des parties sans s'arrêter aux expressions ou dénominations inexactes dont elles ont pu se servir, soit par erreur, soit pour déguiser la nature véritable de la convention (art. 18 al. 1 CO). Il incombe donc au juge d'établir, dans un premier temps, la volonté réelle des parties, le cas échéant empiriquement, sur la base d'indices. S'il ne réussit pas ainsi à déterminer cette volonté réelle, ou s'il constate qu'une partie n'a pas compris la volonté réelle manifestée par l'autre, le juge tentera de découvrir leur volonté présumée en interprétant leurs déclarations selon la théorie de la confiance, soit selon le sens que leur destinataire devait raisonnablement leur attribuer, les expressions inexactes dont elles ont pu se servir n'étant pas déterminantes (art. 18 CO) (ATF 125 III 305 consid. 2b ; ATF 123 III 165 consid. 3a, JdT 1998 I 2 ; ATF 123 III 16 consid. 4b ; ATF 122 III 426 consid. 5 ; ATF 111 II 276 consid. 2b).</w:t>
      </w:r>
    </w:p>
    <w:p>
      <w:r>
        <w:rPr>
          <w:b/>
        </w:rPr>
        <w:t>E. 3.2.2</w:t>
      </w:r>
    </w:p>
    <w:p>
      <w:r>
        <w:t>Le juge partira ainsi d'abord du texte du contrat avant de l'examiner dans son contexte, et, dans ce cas, toutes les circonstances ayant précédé ou accompagné sa conclusion doivent être prises en considération (TF in SJ 1996 p. 549). Le juge tiendra compte de l'ensemble des circonstances connues des parties ou qui pouvaient l'être, notamment en raison de l'attitude antérieure du déclarant (ATF 112 II 245 , II consid. 1b et les arrêts cités). Le sens déterminant d’une expression est celui dont un contractant peut admettre, dans un cas déterminé selon les règles de la bonne foi, qu'il sera le sens retenu par le cocontractant (ATF 116 II 431 consid. 3b, JdT 1991 I 45). Le juge recherche la solution la plus appropriée aux circonstances (ATF 122 III 420 consid. 3a ; ATF 115 II 264 consid. 5a, JdT 1990 I 57, rés. SJ 1990 p. 90). Finalement, et à titre subsidiaire, lorsqu’il subsiste un doute sur leur sens, les dispositions exclusivement rédigées par l’un des cocontractants, ainsi que les conditions générales pré-formulées, sont à interpréter en défaveur de leur auteur, conformément à la règle des clauses ambiguës (« in dubio contra stipulatorem » ou « Unklarheitsregel » ; ATF du 17 septembre 2002 en la cause 5C.134/2002 ; ATF 122 III 118 , consid. 2a ; ATF 119 II 368 , consid. 4b ; ATF 118 II 342 , consid. 1a).</w:t>
      </w:r>
    </w:p>
    <w:p>
      <w:r>
        <w:rPr>
          <w:b/>
        </w:rPr>
        <w:t>E. 3.2.3</w:t>
      </w:r>
    </w:p>
    <w:p>
      <w:r>
        <w:t>En l’espèce, les premiers juges ont relevé, à juste titre, que la portée du terme "chiffre d'affaires" contenu dans la clause litigieuse de l’Annexe 2, donnait lieu à des divergences entre les parties, dont il n'était pas possible d'établir la réelle et commune intention au vu de la seule teneur du texte de cette clause litigieuse. Il appartient, en conséquence, à la Cour de céans de l’interpréter à la lumière du principe de la confiance, soit de déterminer si les parties pouvaient penser que cette notion de "chiffre d'affaires" ne comprenait que le seul résultat des ventes des produits A_____ ou si elles pouvaient raisonnablement comprendre que cette notion incluait également les montants reçus en payement de la maintenance et des autres services liés à ces mêmes produits vendus. Il sera retenu, dans le cadre de cette interprétation, que l'intimée a déclaré à la Cour, sans être contredite par l'appelante, que cette dernière avait fait valoir ses contacts avec le milieu bancaire lors des entretiens précontractuels. En conséquence, l'intimée, intéressée à développer ses activités dans ce même milieu et à y démarcher de nouveaux clients, pouvait s'attendre à ce que l'engagement de l'appelante contribuât à la réalisation de son objectif, et partant, à l’augmentation de son chiffre d’affaires par la conclusion de nouvelles ventes de ses produits A_____. Dans ce contexte, l'octroi à l'appelante d'une participation au chiffre d'affaires de l'entreprise ne pouvait avoir de sens, du point de vue de l'intimée, que si ce chiffre d'affaires correspondait effectivement à de nouvelles ventes de ses produits A_____, intervenues après l'entrée en fonction de l'appelante. La Cour rappelle, à cet égard, que l'appelante était la seule employée de l'intimée a avoir droit à un éventuel bonus contractuel, de sorte qu’il paraît difficile d'admettre que l'intimée a entendu inclure dans le "chiffre d'affaires" fondant le calcul de ce bonus exceptionnel, ses revenus provenant de la maintenance et des services liés à ses produits A_____, alors que ses autres collaborateurs travaillant pourtant directement à cette maintenance et à ces services n'avaient, eux, pas droit à un tel bonus. Cela d’autant plus que, comme les premiers juges l’ont, à juste titre, relevé, des activités de maintenance périodique sur des produits déjà vendus n'étaient pas de nature à influer sur le développement de la clientèle de l’entreprise et qu’au demeurant, l'appelante ne pouvait avoir aucun impact direct sur les résultats de ce type d’activités. Pour le surplus, même si le démarchage de clients en vue de nouvelles ventes de produits A_____ était déjà confié à un consultant indépendant par l'intimée, cela n’empêchait pas cette dernière d’engager l'appelante en vue de la prospection de clients parmi ses relations dans le monde bancaire, qui ouvraient à l’intimée la perspective de nouvelles ventes importantes, circonstance dont on peut admettre qu’elle a décidé l’intimée à accepter contractuellement le principe du bonus litigieux.</w:t>
      </w:r>
    </w:p>
    <w:p>
      <w:r>
        <w:rPr>
          <w:b/>
        </w:rPr>
        <w:t>E. 3.2.4</w:t>
      </w:r>
    </w:p>
    <w:p>
      <w:r>
        <w:t>. C'est à juste titre que l'appelante se plaint d'une application erronée du principe "in dubio contra stipulatorem" par les premiers juges. En effet, au regard des faits non contestés par les parties et retenus par la Cour, à savoir que l'appelante a rédigé l’Annexe 2 à son contrat, comprenant la clause litigieuse, à la suite et conformément à ses discussions précontractuelles avec l'administrateur de l'intimée, il ne peut pas être retenu que l'appelante a, seule, rédigé la clause litigieuse relative au bonus faisant l'objet du présent appel. Il apparaît toutefois que l'admission de ce grief en appel n'est pas de nature à modifier l'interprétation ci-dessus de cette clause par la Cour de céans.</w:t>
      </w:r>
    </w:p>
    <w:p>
      <w:r>
        <w:rPr>
          <w:b/>
        </w:rPr>
        <w:t>E. 3.2.5</w:t>
      </w:r>
    </w:p>
    <w:p>
      <w:r>
        <w:t>Au vu de l'ensemble de ce qui précède, la Cour retiendra, comme les premiers juges, que le bonus contractuellement prévu par les parties en faveur de l'appelante dans l'Annexe 2 à son contrat de travail devait être calculé sur la base du chiffre d'affaires composé exclusivement du produit de ventes de produits A_____ réalisées après l'entrée en fonction de l'appelante (soit des ventes à un nouveau client ou de nouvelles ventes à des clients existants), à l'exclusion du chiffre d'affaires résultant de la maintenance et des services en relation avec ces produits. Or, l’intimée n’ayant enregistré aucune vente de ses produits A_____ pendant ses rapports de travail avec l'appelante, cette dernière ne peut pas prétendre à l'octroi d'un quelconque bonus. Son appel sera, en conséquence, rejeté pour ce motif, et le premier jugement, confirmé. Pour le surplus, l'appelante allègue que le changement de politique de vente de l'intimée, entre 2007 et 2008, a pu avoir une influence négative sur le bonus réclamé. Or, outre le fait que l’appelante ne tire aucune conclusion précise de cet allégué, il apparaît que si le représentant de l'intimée a confirmé devant le premier juge que sa politique de vente avait effectivement changé entre 2007 et 2008 car les ventes étaient devenues difficiles, ce qui expliquait la différence des chiffres d'affaires respectifs de maintenance et de vente entre ces deux exercices, ce changement de politique avait eu pour seul effet de modifier les contrats de maintenance, dans lesquels avaient été inclus d'autres services et des heures de personnel. Toutefois, eu égard au fait qu'elle a retenu ci-dessus sous ch. 3. que le bonus faisant l'objet du présent appel se fondait contractuellement, sur le chiffre d’affaires généré par les seules ventes de produits A_____ réalisées, le cas échéant, sous l'impulsion de l'appelante, à l'exclusion de celui généré par leur maintenance et les services connexes qui leur étaient liés, la Cour ne discerne pas en quoi ledit changement de politique commerciale de l'intimée est pertinent pour la solution du présent litige. Ce grief sera, par conséquent, écarté. En application de l’article 60 al. 1 er LJP, un émolument de mise au rôle n’est dû que si le montant restant litigieux devant la présente Cour d’appel dépasse 30'000 fr. Cette valeur litigieuse correspond, au sens de l’article 343 al. 2 CO, aux prétentions en montants bruts du demandeur à l’ouverture de l’action (ATF 115 II 41 = JdT 1989 I, p. 67 ; ATF 100 II 359 = JdT 1975 I, p. 621 ; Rehbinder, Berner Kommentar, n. 14 ad art. 343 CO). A teneur de l’article 78 al. 1 er LJP, l’émolument d’appel est mis à la charge de la partie qui succombe, à moins que la Cour n’en décide autrement. En l'espèce, compte tenu de la valeur litigieuse en jeu en appel, soit 45'548 fr. 50, et en tant qu'elle succombe dans ses conclusions, l'appelante supportera l’émolument d’appel qu'elle a déjà payé à hauteur de 440 fr. (42 du Règlement fixant le tarif des greffes en matière civile, du 9 avril 1997 (RTGMC ; RS E 3 05.10)).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