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C/29701/2002 vom 7. September 2004</w:t>
      </w:r>
    </w:p>
    <w:p>
      <w:r>
        <w:t>GE Cour de justice, 2004-09-07, FR</w:t>
      </w:r>
    </w:p>
    <w:p>
      <w:r>
        <w:rPr>
          <w:b/>
        </w:rPr>
        <w:t xml:space="preserve">Quelle: </w:t>
      </w:r>
      <w:r>
        <w:t>https://mcp.opencaselaw.ch/entscheid/ge_gerichte_C_29701_2002</w:t>
      </w:r>
    </w:p>
    <w:p>
      <w:r>
        <w:t>FR: GE_GERICHTE C/29701/2002 du 7 septembre 2004</w:t>
      </w:r>
    </w:p>
    <w:p>
      <w:r>
        <w:t>IT: GE_GERICHTE C/29701/2002 del 7 settembre 2004</w:t>
      </w:r>
    </w:p>
    <w:p>
      <w:pPr>
        <w:pStyle w:val="Heading2"/>
      </w:pPr>
      <w:r>
        <w:t>Regeste</w:t>
      </w:r>
    </w:p>
    <w:p>
      <w:r>
        <w:t>CONTRAT INDIVIDUEL DE TRAVAIL; AGENT; ASSURANCE ; FARDEAU DE LA PREUVE; RÉSILIATION ABUSIVE | T est responsable du service de conseil à la clientèle auprès d'E, société spécialisée dans la prévoyance complémentaire. T est licencié. Il n'a jamais émis la moindre prétention, de sorte que le licenciement ne saurait avoit été donné en raison de l'existence d'une prétention émise par le salarié. Il n'est donc pas abusif. Il n'y a par ailleurs rien d'abusif à licencier un employé en raison des plaintes justifiées émises par ses subalternes. | CC.8; CO.328; CO.336.al1.litd</w:t>
      </w:r>
    </w:p>
    <w:p>
      <w:pPr>
        <w:pStyle w:val="Heading2"/>
      </w:pPr>
      <w:r>
        <w:t>Erwägungen</w:t>
      </w:r>
    </w:p>
    <w:p>
      <w:r>
        <w:rPr>
          <w:b/>
        </w:rPr>
        <w:t>E. 1</w:t>
      </w:r>
    </w:p>
    <w:p>
      <w:r>
        <w:t>L’appel est recevable, ayant été interjeté dans le délai et suivant la forme prévus par la loi (art. 56 al. 1, 59 LJP). 2.1. Selon l’art. 336 al. 1 lit. d CO, est abusive la résiliation d’un contrat de travail signifiée parce que l’autre partie fait valoir de bonne foi des prétentions résultant du contrat. Les prétentions au sens de la norme précitée concernent l’exercice de l’ensemble des droits découlant du contrat de travail, par exemple le salaire, l’horaire de travail ou une demande tendant à la protection de la personnalité de l’employé garantie par l’art. 328 CO (HUMBERT, Die neue Kündigungsschutz im Arbeitsrecht, 1991, p. 88; ZOSS, La résiliation abusive du contrat de travail, 1997, p. 202-204). Le fardeau de la preuve du caractère abusif du congé incombe à la partie qui le reçoit (ATF 123 III 246 = JdT 1998 I 300 cons. 4/b). En relation avec l’art. 336 al. 1 lit. d CO, le demandeur doit donc en particulier démontrer avoir formulé une prétention à l’origine de la résiliation (WYLER, Droit du travail, p. 405-406; ZOSS, op. cit., p. 211-212). Comme un des faits déterminants, soit la véritable raison du congé, est de nature psychique, un faisceau d’indices ou une très grande vraisemblance, fondée entre autres sur la chronologie des évènements, peut suffire suivant le cas à établir le caractère abusif de la résiliation. La partie ayant dénoncé le contrat doit, de son côté, collaborer à l’administration des preuves et démontrer la réalité des motifs légitimes qui l’ont amenée, selon son dire, à mettre fin aux rapports de travail (WYLER, op. cit, p. 397; ZOSS, op. cit, p. 271-274). 2.2. En l’occurrence et comme l’a considéré avec raison le Tribunal (jugement p. 17), rien n’est venu établir que l’employé a présenté à la direction de l’établissement qui l’occupait une requête précise, afin que soient engagé un ou plusieurs collaborateurs à même de le seconder. Après que l’intéressé eut accepté de reprendre la responsabilité de deux autres services en sus du département du conseil à la clientèle, la question de son encadrement éventuel a certes été étudiée avec la responsable du personnel. L’engagement d’un assistant pour ledit service ou celui du marketing en est toutefois resté au stade de projet et l’appelant n’a jamais exprimé une exigence précise en la matière devant être satisfaite immédiatement. A tout le moins, le contraire n’a pas été démontré, alors que les versions des parties sur ce point demeurent contradictoires et que l’appelant se limite à des allégués imprécis (pv du 8.7.2004 p. 2-3; acte d’appel p. 6, 10-12, 17; mém. du 13.5.2004 p. 5, 10, 13). La condition de la formulation d’une prétention au sens de l’art. 336 al. 1 lit. d CO fait donc défaut dans le cas d’espèce. 2.3. L’employeur a de son côté avancé trois raisons censées expliquer le licenciement. Le Tribunal a estimé inutile de se prononcer sur deux d’entre elles. La Cour relèvera pour sa part que l’instruction de la cause n’a pas établi le caractère fondé du reproche tenant aux dépenses prétendument engagées sans droit pour le spon-soring d’un tournoi organisé par le Y_______ TENNIS CLUB. Un témoin a en effet indiqué qu’au sein de l’établissement, les chefs de service avaient la compétence de consentir à de tels frais pour un montant maximal de 20'000 fr. à 25'000 fr., limite dépassée de manière minime dans le cas d’espèce. La direction de l’intimée savait de surcroît que l’établissement finançait la manifestation. L’autre reproche, tenant à l’octroi d’une commission en faveur d’un agent d’assurance à l’occasion de la suscription d’un contrat de prévoyance, n’apparaît pas plus justifié. L’agent d’assurance, qui gérait le portefeuille du souscripteur, avait en effet proposé l’affaire à l’intimée. Celle-ci ne peut donc se plaindre qu’une commission lui ait été demandée. Un contrat de courtage a de surcroît été régulièrement établi, portant deux signatures au nom de l’intimée. Or, il n’a pas été établi que les signataires auraient été induits en erreur. L’employeur a au demeurant reconnu que le motif invoqué à l’appui de la résiliation n’était « qu’accessoire », conscient sans doute de la faiblesse de l’argument qu’il invoquait. 2.4. Comme l’a admis le Tribunal, le licenciement s’explique en revanche par les plaintes des collaborateurs du service de la clientèle, dénonçant le fait que leur supérieur hiérarchique direct ne leur accordait plus l’attention et l’assistance voulues, alors que, dans le même temps, le chiffre d’affaires des nouvelles souscription de contrats de prévoyance ne correspondait pas aux objectifs fixés. De telles raisons n’ont rien d’abusif, de sorte qu’il n’y a pas matière à allocation d’une indemnité selon l’art. 336a CO.</w:t>
      </w:r>
    </w:p>
    <w:p>
      <w:r>
        <w:rPr>
          <w:b/>
        </w:rPr>
        <w:t>E. 3</w:t>
      </w:r>
    </w:p>
    <w:p>
      <w:r>
        <w:t>Les réflexions qui précèdent n’équivalent néanmoins pas à un blanc-seing donné à l’employeur. A la fin de 2001, la directeur général de l’intimée a confié à l’appelant, entré six mois plus tôt dans l’établissement, la responsabilité de deux nouveaux services, gérés jusque là par un cadre démissionnaire occupé à plein temps, en sus du département qui lui avait été initialement attribué. Aucune mesure n’a été prise, pour lui apporter aussitôt un soutien, ainsi qu’un encadrement probablement nécessaires, ce d’autant que la décision a été prise peu après de changer d’agence de publicité en charge des campagnes pour le compte de l’appelante. L’intimé semble avoir été rapidement débordé par l’ampleur des tâches qui lui incombaient. Sous cet angle, l’employeur pourrait le cas échant encourir une responsabilité au regard de l’art. 328 CO (SAILLEN, La protection de la personnalité du travailleur, 1981, p. 78). L’employé n’a toutefois pas fondé ses conclusions sur l’art. 328 CO et l’instruction fournit des éléments insuffisants pour que la Cour puisse se prononcer sur la question. Le jugement sera ainsi confirmé.</w:t>
      </w:r>
    </w:p>
    <w:p>
      <w:r>
        <w:rPr>
          <w:b/>
        </w:rPr>
        <w:t>E. 4</w:t>
      </w:r>
    </w:p>
    <w:p>
      <w:r>
        <w:t>L’appelant, qui succombe, assumera la charge de l’émolument de deuxième instance déjà versé.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