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C/2969/2017 vom 18. April 2019</w:t>
      </w:r>
    </w:p>
    <w:p>
      <w:r>
        <w:t>GE Cour de justice, 2019-04-18, FR</w:t>
      </w:r>
    </w:p>
    <w:p>
      <w:r>
        <w:rPr>
          <w:b/>
        </w:rPr>
        <w:t xml:space="preserve">Quelle: </w:t>
      </w:r>
      <w:r>
        <w:t>https://mcp.opencaselaw.ch/entscheid/ge_gerichte_C_2969_2017</w:t>
      </w:r>
    </w:p>
    <w:p>
      <w:r>
        <w:t>FR: GE_GERICHTE C/2969/2017 du 18 avril 2019</w:t>
      </w:r>
    </w:p>
    <w:p>
      <w:r>
        <w:t>IT: GE_GERICHTE C/2969/2017 del 18 aprile 2019</w:t>
      </w:r>
    </w:p>
    <w:p>
      <w:pPr>
        <w:pStyle w:val="Heading2"/>
      </w:pPr>
      <w:r>
        <w:t>Volltext</w:t>
      </w:r>
    </w:p>
    <w:p>
      <w:r>
        <w:t>Genève Cour de Justice (Cour civile) Chambre des prud'hommes 18.04.2019 C/2969/2017</w:t>
      </w:r>
    </w:p>
    <w:p>
      <w:r>
        <w:t>C/2969/2017 CAPH/73/2019 du 18.04.2019 sur JTPH/95/2018 ( OO ) , RETRAIT APPEL RÉPUBLIQUE ET CANTON DE GENÈVE POUVOIR JUDICIAIRE C/2969/2017-5 CAPH/73/2019 ARRÊT DE LA COUR DE JUSTICE Chambre des prud'hommes DU 18 AVRIL 2019 Entre A______ , sise ______ [ZH], recourant contre un jugement rendu par le Tribunal des prud'hommes le 23 avril 2018 ( JTPH/95/2018 ), comparant par M e Stéphanie FULD, avocate, BIANCHISCHWALD SÀRL, rue Jacques-Balmat 5, case postale 5839, 1211 Genève 11, en l'Étude de laquelle elle fait élection de domicile, et Monsieur B______ , domicilié route ______, France, intimé, comparant par M e D______ , avocate, ______, en l'Étude de laquelle il fait élection de domicile. Vu, en fait , le jugement ( JTPH/95/2018 ) rendu le 23 avril 2018 par le Tribunal des prud'hommes dans la cause opposant la A______ à B______; Vu le recours formé le 4 mai 2018 par la A______ à l'encontre du jugement précité; Vu l'arrêt de la Chambre des Prud'hommes ( CAPH/67/2018 ) du 16 mai 2018 rejetant la requête de suspension de la procédure sollicitée par l'appelante; Vu la réponse du 24 mai 2018 déposée par B______; Vu la réplique déposée le 11 juin 2018 par la A______, Vu l'absence de duplique de B______ dans le délai imparti, les parties ont été avisées par le greffe de la Chambre des Prud'hommes de ce que la cause était gardée à juger; Vu le courrier du conseil de B______, Me C______, du 18 février 2019 indiquant que son mandant avait pris la décision de changer d'avocat, ce qui rendait le recours soumis à la Chambre des Prud'hommes sans objet, précisant qu'il cessait d'occuper avec effet immédiat et révoquait simultanément l'élection de domicile en son Etude; Vu le courrier du 12 avril 2019 de la A______ par lequel celle-ci déclare que, suite à la constitution de Me D______ à la défense des intérêts de B______ devant le Tribunal des Prud'hommes, elle déclare retirer son recours, la cause pouvant être rayée du rôle; Vu la lettre de constitution de Me D______, nouveau conseil de B______, parvenue à la Chambre des Prud'hommes le 17 avril 2019; Considérant, en droit , qu'une transaction, un acquiescement ou un désistement d'action a les effets d'une décision entrée en force (art. 241 al. 2 CPC); Que dans un tel cas la cause est rayée du rôle (art. 241 al. 3 CPC); Qu'il sera donc pris acte du retrait du recours, la cause étant rayée du rôle; Que, compte tenu du retrait intervenu, il ne sera pas perçu de frais judiciaires, de sorte que l'avance de frais effectuée par la recourante lui sera restituée; Qu'il n'est pas alloué de dépens ni d'indemnité pour la représentation en justice dans les causes soumises à la juridiction des Prud'hommes (art. 22 al. 2 LaCC). * * * * * PAR CES MOTIFS, de la Chambre des prud'hommes, groupe 5: Prend acte du retrait du recours formé le 4 mai 2018 par la A______ à l'encontre du jugement du 23 avril 2018 rendu par le Tribunal des prud'hommes dans la cause C/2969/2017-5. Dit qu'il n'est pas perçu de frais judiciaires. Ordonne, en conséquence, aux Services financiers du Pouvoir judiciaire de restituer à A______ la somme de 1'000 fr. Dit qu'il n'est pas alloué de dépens. Raye la cause du rôle de la Chambre des prud'hommes. Siégeant : Madame Jocelyne DEVILLE-CHAVANNE, présidente; Madame Anne-Christine GERMANIER, juge employeur; Monsieur Willy KNOPFEL, juge salarié; Madame Véronique BULUNDWE-LEVY,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