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C/29596/2017 vom 29. Juni 2018</w:t>
      </w:r>
    </w:p>
    <w:p>
      <w:r>
        <w:t>GE Cour de justice, 2018-06-29, FR</w:t>
      </w:r>
    </w:p>
    <w:p>
      <w:r>
        <w:rPr>
          <w:b/>
        </w:rPr>
        <w:t xml:space="preserve">Quelle: </w:t>
      </w:r>
      <w:r>
        <w:t>https://mcp.opencaselaw.ch/entscheid/ge_gerichte_C_29596_2017</w:t>
      </w:r>
    </w:p>
    <w:p>
      <w:r>
        <w:t>FR: GE_GERICHTE C/29596/2017 du 29 juin 2018</w:t>
      </w:r>
    </w:p>
    <w:p>
      <w:r>
        <w:t>IT: GE_GERICHTE C/29596/2017 del 29 giugno 2018</w:t>
      </w:r>
    </w:p>
    <w:p>
      <w:pPr>
        <w:pStyle w:val="Heading2"/>
      </w:pPr>
      <w:r>
        <w:t>Regeste</w:t>
      </w:r>
    </w:p>
    <w:p>
      <w:r>
        <w:t>MESURE PROVISIONNELLE ; RELATIONS PERSONNELLES ; EFFET SUSPENSIF | CPC.315</w:t>
      </w:r>
    </w:p>
    <w:p>
      <w:pPr>
        <w:pStyle w:val="Heading2"/>
      </w:pPr>
      <w:r>
        <w:t>Volltext</w:t>
      </w:r>
    </w:p>
    <w:p>
      <w:r>
        <w:t>Genf Cour de Justice (Cour civile) Chambre civile 03.09.2018 C/29596/2017 Genève Cour de Justice (Cour civile) Chambre civile 03.09.2018 C/29596/2017 Ginevra Cour de Justice (Cour civile) Chambre civile 03.09.2018 C/29596/2017</w:t>
      </w:r>
    </w:p>
    <w:p>
      <w:r>
        <w:t>MESURE PROVISIONNELLE ; RELATIONS PERSONNELLES ; EFFET SUSPENSIF | CPC.315</w:t>
      </w:r>
    </w:p>
    <w:p>
      <w:r>
        <w:t>C/29596/2017 ACJC/1175/2018 du 03.09.2018 sur OTPI/442/2018 ( SDF ) Descripteurs : MESURE PROVISIONNELLE ; RELATIONS PERSONNELLES ; EFFET SUSPENSIF Normes : CPC.315 Par ces motifs RÉPUBLIQUE ET CANTON DE GENÈVE POUVOIR JUDICIAIRE C/29596/2017 ACJC/1175/2018 ARRÊT DE LA COUR DE JUSTICE Chambre civile du lundi 3 septembre 2018 Entre Monsieur A______ , domicilié ______, appelant d'une ordonnance rendue par la 9ème Chambre du Tribunal de première instance de ce canton le 29 juin 2018, comparant par Me Pascal Junod, avocat, rue de la Rôtisserie 6, case postale 3763, 1211 Genève 3, en l'étude duquel il fait élection de domicile, et Les enfants B______ et C______ , représentés par D______, ______, intimés, comparant tous deux par Me Stéphanie Butikofer, avocate, rue Jacques-Dalphin 45, 1227 Carouge, en l'étude de laquelle ils font élection de domicile. Attendu, EN FAIT , que par ordonnance du 29 juin 2018, le Tribunal de première instance, statuant sur mesures provisionnelles, a octroyé à A______ un droit de visite sur les enfants B______, née le ______ 2007, et C______, né le ______ 2011, un droit de visite d'un week-end sur deux et durant la moitié des vacances scolaires (ch. 1 du dispositif); Qu'il a relevé que les modalités effectives de l'exercice du droit de visite du père n'étaient pas connues et qu'il ignorait si la garde alternée préconisée par le Service de protection des mineurs était exercée; qu'il a considéré qu'en l'état, et à défaut d'investigation sur ce point, l'instauration d'une garde alternée n'était pas conforme à l'intérêt des enfants compte tenu du conflit qui existe vraisemblablement entre les parents; Que par acte expédié au greffe de la Cour le 13 juillet 2018, A______ a formé appel contre cette ordonnance, concluant à son annulation, avec suite de frais; qu'il a expliqué que les parents avaient convenu lors de l'audience du 13 juin 2018 devant le Tribunal que la garde des enfants s'effectuerait de manière alternée, à raison d'une semaine chez chacun d'eux puisque ce système convenait aux parents; Qu'il a expliqué, sans prendre de conclusion formelle à cet égard, qu'il convenait d'accorder l'effet suspensif à son appel afin d'éviter un changement abrupte dans le régime de garde que connaissaient actuellement les enfants; Que D______, en sa qualité de représentante des enfants, s'est opposée à la restitution de l'effet suspensif; qu'elle a exposé que le système de garde alternée ne convenait pas aux enfants et qu'elle l'avait avait suspendu le 22 août 2018 avec effet immédiat;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il n'est pas suffisamment rendu vraisemblable à ce stade qu'une garde alternée sur les enfants a véritablement été exercée pendant une certaine durée et, en tout état de cause, qu'elle l'est encore à ce jour; Que l'octroi de l'effet suspensif à l'appel n'aurait ainsi vraisemblablement pas pour effet de maintenir en l'état une situation actuelle et d'éviter ainsi des changements de garde aux enfants; Qu'ainsi, au vu des circonstances et dans la mesure où la réglementation du droit de visite prévue par le Tribunal n'apparaît pas prima facie contraire à l'intérêt des enfants pour la durée de la procédure d'appel, la requête de l'appelant tendant à l'octroi de l'effet suspensif à son appel sera rejetée; Qu'il sera statué sur les frais et dépens liés à la présente décision avec la décision au fond (art. 104 al. 3 CPC). * * * * * PAR CES MOTIFS, La Chambre civile : Statuant sur requête de suspension du caractère exécutoire de l'ordonnance entreprise : Rejette la requête formée par A______ tendant à suspendre le caractère exécutoire de l'ordonnance OTPI/442/2018 rendue le 29 juin 2018 par le Tribunal de première instance dans la cause C/29596/2017-9.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