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C/29523/2001 vom 21. September 2004</w:t>
      </w:r>
    </w:p>
    <w:p>
      <w:r>
        <w:t>GE Cour de justice, 2004-09-21, FR</w:t>
      </w:r>
    </w:p>
    <w:p>
      <w:r>
        <w:rPr>
          <w:b/>
        </w:rPr>
        <w:t xml:space="preserve">Quelle: </w:t>
      </w:r>
      <w:r>
        <w:t>https://mcp.opencaselaw.ch/entscheid/ge_gerichte_C_29523_2001</w:t>
      </w:r>
    </w:p>
    <w:p>
      <w:r>
        <w:t>FR: GE_GERICHTE C/29523/2001 du 21 septembre 2004</w:t>
      </w:r>
    </w:p>
    <w:p>
      <w:r>
        <w:t>IT: GE_GERICHTE C/29523/2001 del 21 settembre 2004</w:t>
      </w:r>
    </w:p>
    <w:p>
      <w:pPr>
        <w:pStyle w:val="Heading2"/>
      </w:pPr>
      <w:r>
        <w:t>Regeste</w:t>
      </w:r>
    </w:p>
    <w:p>
      <w:r>
        <w:t>CONTRAT INDIVIDUEL DE TRAVAIL; AVIATION CIVILE ; PERSONNEL AÉRONAUTIQUE ; ACTION EN CONSTATATION; CONDITION DE RECEVABILITÉ;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A________</w:t>
      </w:r>
    </w:p>
    <w:p>
      <w:r>
        <w:rPr>
          <w:b/>
        </w:rPr>
        <w:t>E. 2.1</w:t>
      </w:r>
    </w:p>
    <w:p>
      <w:r>
        <w:t>Prestations de base Du 1.11.1998 au 31.10.2003, A________ vous versera une prestation mensuelle correspondant à 70% de votre dernier salaire mensuel (fr. 3'965.75) = Fr. 2'776.05 Du 1.11.2003 au 30.04.2004, A________ vous versera une prestation mensuelle correspondant à 50% de votre dernier salaire (minimum 3'000.- pour 42 heures) = Fr. 2'500.- Ce versement sera effectué 12 fois l’an (pas de 13 ème salaire)</w:t>
      </w:r>
    </w:p>
    <w:p>
      <w:r>
        <w:rPr>
          <w:b/>
        </w:rPr>
        <w:t>E. 2.2</w:t>
      </w:r>
    </w:p>
    <w:p>
      <w:r>
        <w:t>Versement transitoire : « pont AVS » depuis le début de la rente de B________ jusqu’à l’âge de la retraite AVS Durant la période du 01.05.2004 (début de la retraite B________) jusqu’au 31.05.2005 inclus (âge de la retraite AVS), A________ vous versera mensuellement un montant de fr. 1'658.35 (35/42èmes de fr. 1'990.-). Ce versement sera également effectué 12 fois par an (pas de 13 ème salaire).</w:t>
      </w:r>
    </w:p>
    <w:p>
      <w:r>
        <w:rPr>
          <w:b/>
        </w:rPr>
        <w:t>E. 2.3</w:t>
      </w:r>
    </w:p>
    <w:p>
      <w:r>
        <w:t>Primes de B_______________ Depuis la date de votre départ à la retraite (01.11.1996) et jusqu’à la date de votre retraite anticipée B________ (01.05.2004), A________ prend en charge la totalité des primes sur le dernier salaire assuré (participations employeur et employé) de la caisse générale de prévoyance.</w:t>
      </w:r>
    </w:p>
    <w:p>
      <w:r>
        <w:rPr>
          <w:b/>
        </w:rPr>
        <w:t>E. 2.4</w:t>
      </w:r>
    </w:p>
    <w:p>
      <w:r>
        <w:t>Jubilés En cas de retraite anticipée dans le cadre de mesures de redimensionnement, les personnes concernées ayant plus de 20 ans de service reçoivent le cadeau d’ancienneté payé au prorata. Depuis votre dernier jubilé (30 années de service au 01.12.1993), vous aurez effectué 58 mois de présence jusqu’au 31.10.1998. Vous recevrez ainsi le 58/60 ème de fr. 3'965.75, donc fr. 3'833 fr. 55 avec votre dernier salaire.</w:t>
      </w:r>
    </w:p>
    <w:p>
      <w:r>
        <w:rPr>
          <w:b/>
        </w:rPr>
        <w:t>E. 3</w:t>
      </w:r>
    </w:p>
    <w:p>
      <w:r>
        <w:t>R etraite avec réduction de rente au 01.05.2004 Ainsi que cela a été convenu avec vous, votre départ en retraite régulière selon « option 96 » sera avancé de 12 (recte 13) mois. Selon le règlement de B________, une prestation réduite vous sera versée mensuellement dès le 01.05.2004. Son montant sera confirmé à temps par l’institution de prévoyance.</w:t>
      </w:r>
    </w:p>
    <w:p>
      <w:r>
        <w:rPr>
          <w:b/>
        </w:rPr>
        <w:t>E. 4</w:t>
      </w:r>
    </w:p>
    <w:p>
      <w:r>
        <w:t>Assurances et impôts</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D____________, après sa création en 1992, a repris tant l’exploitation que le personnel du service « catering » de  A________, soit une partie de l’entreprise A________ ; elle est, partant liée, en application de l’art. 333 CO, par les conditions auxquelles sont soumis les contrats de travail des employés de ce service, dont elle est devenue l’employeur dès le 1 er janvier 1993. Par la suite, la qualité d’employeur a passé à E_______________, par suite de fusion. C’est dans ce contexte que l’accord portant sur la préretraite de T________ a été conclu par les parties.</w:t>
      </w:r>
    </w:p>
    <w:p>
      <w:r>
        <w:rPr>
          <w:b/>
        </w:rPr>
        <w:t>E. 4.3</w:t>
      </w:r>
    </w:p>
    <w:p>
      <w:r>
        <w:t>Impôts Les prestations versées par E_____________ et A________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23 juillet 1998 établi à son en-tête et signé par deux personnes ayant qualité pour l’engager, E_____________ a informé T________ des modalités de la retraite anticipée dont elle allait bénéficier dès le 1 er novembre 1998. T________ a admis en avoir accepté les termes. Il s’agit là d’un accord contractuel portant sur la fin des rapports de travail, admissible au regard de l’art. 335 CO, aux termes duquel il est mis fin aux relations de travail de T________, dès le 1 er novembre 1998, moyennant paiement de diverses prestations mensuelles jusqu’à l’âge de la retraite légale. S’agissant du débiteur des prestations convenues, le texte du courrier de E_____________ à T________ du 23 juillet 1998 est ambigu. En effet, d’une part, il est indiqué que les prestations promises seront versées par A________. D’autre part, toutefois, au chiffre 4.3, sous la rubrique « impôts » il est fait état des prestations « versées par E_____________ et A________», ce qui laisse entendre que les mensualités promises seront servies à T________ non seulement par A________, mais également par E_____________. Compte tenu de cette ambiguïté, le sens de ce courrier doit être établi en fonction de son but et des circonstances dans lesquelles il a été établi. D’une part, ce courrier fait référence au plan « option 96 », et les prestations promises à T________ correspondent bien à celles de ce plan social, adopté par A________ en amélioration du plan social 1995, sous la forme d’une convention collective de travail engageant cette dernière. Cette circonstance est toutefois sans incidence sur la qualité de débitrice de E_____________ si celle-ci s’est engagée à les servir à T________, aux termes du courrier du 23 juillet 1998. 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 ne pouvait ni ne devait le comprendre autrement, ce courrier ne précisant pas de manière explicite que A________ reprend, à titre exclusif, la dette de l’employeur. Peu importe, à cet égard, qu’il lui ait été indiqué que les prestations promises lui seraient versées par A________ et que les montants versés jusqu’à fin novembre 2001, en exécution de l’accord conclu, aient effectivement été opérés par A________, puis C________, au moyen de fonds spécialement prévus par cette dernière à cet effet. En effet, d’une part, l’exécution par un tiers d’une obligation contractuelle est licite ; d’autre part, il a été confirmé lors des enquêtes que, d’une manière générale, c’est C________ qui tenait la comptabilité des filiales et qui s’occupait du versement des salaires des employés au sol « filialisés », les différentes filiales étant identifiées dans sa propre comptabilité par un code chiffré (décl. N_______). Ainsi, en versant à T________ les prestations promises, A________ et ultérieurement C________ ont ici agi en qualité soit d’auxiliaire de E_____________, soit de codébiteur solidaire de cette dernière. Cette conclusion est étayée par le fait que, si les fiches de paie relatives au versement des mensualités à T________ ont été établies à l’en-tête de C________, celles concernant d’autres préretraités de cette société l’ont été, sans distinction, tantôt à l’en-tête de C________, et tantôt à celle de E_____________. Ainsi, le courrier de E_____________ du 23 juillet 1998, interprété selon le principe de la confiance, emporte l’obligation de E_____________ de verser les prestations promises à T________, à tout le moins comme co-débiteur solidaire, sans qu’il soit nécessaire de fonder sa légitimation passive sur les dispositions régissant le porte-fort, ou encore d’admettre une responsabilité fondée sur la confiance. E_____________ ne saurait tirer argument du fait que T________ a produit sa créance dans le sursis concordataire de C________. D’une part en effet, T________ a été, à l’instar des autres préretraités du groupe, formellement invitée à produire dans ledit sursis par courrier du 1 er novembre 2001 qui lui a été adressé par C________; d’autre part, au vu de la contestation, par E_____________, de sa qualité de débitrice et face à l’incertitude juridique qui en découlait, on ne peut reprocher à T________ d’avoir voulu sauvegarder ses droits en produisant sa créance dans le sursis concordataire C________ (débitrice alléguée par E_____________). Il n’est par ailleurs pas exclu que cette dernière revête la qualité de débitrice solidaire, s’agissant des prestations promises à T________, question que la Cour n’a toutefois pas à trancher. E_____________ ne peut par ailleurs se prévaloir du fait que T________ a sollicité, et obtenu, une aide du SECO, dans le cadre des mesures réservées aux créanciers de C________, ceci pour tenter de diminuer son dommage. Au vu de ce qui précède, les premiers juges ont avec raison admis la légitimation passive de E_____________.</w:t>
      </w:r>
    </w:p>
    <w:p>
      <w:r>
        <w:rPr>
          <w:b/>
        </w:rPr>
        <w:t>E. 6</w:t>
      </w:r>
    </w:p>
    <w:p>
      <w:r>
        <w:t>E_____________ soutient encore que plus aucune prestation n’est due, à dater du 1 er décembre 2001, dans la mesure où T________ a perçu de manière anticipée sa rente B________. A ses yeux, le plan de préretraite prévu était destiné à assurer le niveau de vie des employés antérieur à la résiliation des rapports de travail jusqu’au versement de la rente LPP. La Cour ne saurait suivre cet avis.</w:t>
      </w:r>
    </w:p>
    <w:p>
      <w:r>
        <w:rPr>
          <w:b/>
        </w:rPr>
        <w:t>E. 6.1</w:t>
      </w:r>
    </w:p>
    <w:p>
      <w:r>
        <w:t>Il résulte en effet clairement du texte du courrier du 23 juillet 1998 que les prestations de préretraite devaient être versées à T________ non jusqu’au moment où elle percevrait les prestations de B________, mais jusqu’à l’âge normal de la retraite. En effet, selon ce courrier, le versement anticipé de la rente LPP intervient le 1 er mai 2005, alors que T________ n’atteint l’âge de la retraite normale que le 1 er juin 2004 (actuellement 2006). Or, durant cette période, T________ peut prétendre au « versement transitoire » ou « pont AVS » prévu au chiffre 2.2 de ce courrier. 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les prestations de B________ et jusqu’à ce qu’il atteigne l’âge normal de la retraite. E_____________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23 juillet 1998 que dans le plan social de C________ option 1996/2000. E_____________ ne saurait enfin s’appuyer sur le texte d’un courrier adressé à toutes les préretraitées du groupe en novembre 2000, aux termes duquel C________ les informe que le plan de préretraite est prolongé pour tenir compte de l’augmentation de l’âge de la retraite des femmes et qu’il sera tenu compte de toute prestation versée par l’AI ou une autre assurance. Il s’agit en effet là d’une modification des conditions du plan social « option96 », adoptée unilatéralement par A________ et à laquelle T________ n’a pas consenti. Tout au plus, le chiffre 5.1 du courrier du 23 juillet 1998 réserve la possibilité de « réduire » la prestation promise, lorsque le préretraité exerce une activité lucrative lui rapportant, cumulé avec la prestation de préretraite, un montant supérieur à son dernier salaire, circonstance non réalisée en l’espèce. Les engagements résultant du courrier de E_____________ du 23 juillet 1998 ne sont dès lors pas caducs du simple fait que T________ a perçu de manière anticipée sa rente de B________.</w:t>
      </w:r>
    </w:p>
    <w:p>
      <w:r>
        <w:rPr>
          <w:b/>
        </w:rPr>
        <w:t>E. 6.2</w:t>
      </w:r>
    </w:p>
    <w:p>
      <w:r>
        <w:t>C’est le lieu de préciser que la dette de E_____________ n’est amoindrie ni par la production de la créance de T________ dans le concordat de C________, ni par son admission à l’état de collocation. Seul un paiement dans le cadre de celui-ci, libérerait E_____________ à due concurrence. Or, il n’est pas allégué qu’un tel versement serait intervenu à ce jour. Partant, point n’est besoin de donner suite aux conclusions préparatoires de E_____________, tendant à l’apport de pièces.</w:t>
      </w:r>
    </w:p>
    <w:p>
      <w:r>
        <w:rPr>
          <w:b/>
        </w:rPr>
        <w:t>E. 7</w:t>
      </w:r>
    </w:p>
    <w:p>
      <w:r>
        <w:t>Il résulte de ce qui précède que E_____________ est en demeure de verser à T________ les prestations prévues, impayées et échues jusqu’à la date du présent arrêt. Aux termes du courrier du 23 juillet 1998, celles-ci représentent fr.  2'776.05 par mois du 1 er décembre 2001 au 31 octobre 2003 (23 X) et fr. 2'500.- du 1 er novembre 2003 au 30 avril 2004 (6X), puis fr. 1'658.35 par mois du 1 er mai 2004 au 31 août 2004 (4X). Ces sommes s’entendent net, les cotisations AVS y relatives devant, aux termes du courrier du 23 juillet 1998, être supportées par T________. T________ réclame toutefois un montant adapté à la rente maximale simple actuelle AVS au prorata, à titre de « pont AVS » pour la période courant dès le 1 er août 2002 et jusqu’au 1er juillet 2007, en raison de la modification de l’âge de la retraite AVS des femmes. S’agissant du montant du « pont AVS », le plan social A________1995 se contente de prévoir que le « versement transitoire 2 » correspond à la « rente AVS maximale simple » sans autre précision. Les modifications apportées par A________ en avril 1996 (« option 1996 »), précisent que le montant de ladite rente est fixé « lors du départ et n’est plus modifiable par la suite ». Les conditions de préretraite de T________ sont identiques à celles prévues par le plan social « option 96 ». Ainsi, il doit être retenu que le « versement transitoire 2 » est fixé au moment du départ et n’est plus modifiable par la suite. L’adaptation sollicitée par T________ n’est ainsi pas fondée sur ce point. Le pont AVS doit en revanche être versé jusqu’au 31 mai 2007, compte tenu de l’information claire donnée à ce sujet à tous les préretraités du groupe C______, aux termes de la circulaire qui leur a été adressée en novembre 2000. Les montants échus au 31 août 2004 (étant rappelé que, s’agissant d’un substitut de salaire, les mensualités sont échues à la fin du mois courant) sont ainsi les suivants : - du 1 er décembre 2001 au 31 octobre 2003, fr. 2'776.05 x 23 = fr. 63'849.15 ; - du 1 er novembre 2003 au 30 avril 2004, fr. 2'500.- x 6 = fr. 15'000.- ; - du 1 er mai au 31 août 2004, fr. 1'658.35 x 4 = fr. 6'633.40 ; pour un total de fr. 85'482.55. Ce montant porte intérêts moratoires à 5 % l’an dès le 15 avril 2003, date moyenne.</w:t>
      </w:r>
    </w:p>
    <w:p>
      <w:r>
        <w:rPr>
          <w:b/>
        </w:rPr>
        <w:t>E. 8</w:t>
      </w:r>
    </w:p>
    <w:p>
      <w:r>
        <w:t>T________ réclame également la constatation que E_____________ doit lui verser les prestations mensuelles à échoir dès la date du présent arrêt jusqu’au 31 mai 2007. L’action en constatation est recevable in casu. Elle n’excède pas ce que T________ a sollicité en première instance, puisqu’alors elle concluait à condamnation. 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 2). Tel est le cas en l’espèce. T________ dispose certes de l’action en exécution, qu’elle fait d’ailleurs valoir, s’agissant des prestations mensuelles échues. Toutefois, cette action n’est pas recevable, s’agissant des prestations futures, et elle dispose d’un intérêt juridique à faire constater l’obligation de E_____________ de lui verser les mensualités non encore échues.</w:t>
      </w:r>
    </w:p>
    <w:p>
      <w:r>
        <w:rPr>
          <w:b/>
        </w:rPr>
        <w:t>E. 9</w:t>
      </w:r>
    </w:p>
    <w:p>
      <w:r>
        <w:t>E_____________ réclame l’imputation, sur les montants à verser, des prestations reçues par T________ de la part de B________. Elle ne saurait être suivie.</w:t>
      </w:r>
    </w:p>
    <w:p>
      <w:r>
        <w:rPr>
          <w:b/>
        </w:rPr>
        <w:t>E. 9.1</w:t>
      </w:r>
    </w:p>
    <w:p>
      <w:r>
        <w:t>D’une part, B________ n’est pas venue se substituer à E_____________ dans le versement des prestations qu’elle s’est engagée à servir, mais a versé à T________ des mensualités en vertu d’une obligation différente, qui lui est propre. Son versement ne vient ainsi pas éteindre, à due concurrence, la dette de E_____________. D’autre part, le plan social « Option 1996 » ne prévoit pas l’imputation sur les prestations dues en vertu de ceux-ci des montants versés par une assurance, en particulier par B________. Au contraire, dès que l’employé atteint l’âge avancé de la retraite, respectivement l’âge réglementaire de la retraite, le « pont AVS » vient se cumuler à celles-ci. Il en est de même aux termes du courrier du 23 juillet 1998, puisque dès le 1 er mai 2002, le « pont AVS » promis vient se cumuler aux rentes B________ en question. 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 Par ailleurs encore, ainsi qu’il a été vu ci-dessus, la lettre circulaire de C________ du mois de novembre 2000 n’est pas opposable à T________, en tant qu’elle prévoit une telle imputation. Enfin, T________ n’est pas enrichie, du fait du versement anticipé de sa rente B________. En effet, aux termes du courrier du 28 juillet 1998, elle aurait dû recevoir celle-ci au 1 er mai 2004, soit de manière anticipée de 13 mois, ce qui correspond à un abattement sur la rente de ½ %. Or, celle-ci lui a été versée de manière anticipée au 1 er décembre 2001, soit de manière anticipée de 29 mois. Cette rente a ainsi subi un abattement de plus de 6 %, si l’on se réfère au tableau figurant au chiffre 8.3.2 du plan social A________ 1995. Cet abattement a été partiellement compensé par le versement anticipé de la rente. La situation est identique, si l’on examine la question au regard du capital retraite perçu par T________. Ce capital-retraite, ainsi qu’il résulte des chiffres fournis et qui n’ont pas été contestés, a en effet été nettement inférieur, au 1 er décembre 2001, à celui qu’elle aurait pu de toute manière percevoir le 1 er mai 2004. Or, rien ne justifie in casu de traiter de manière différente les préretraités ayant choisi l’option de la rente et ceux ayant choisi l’option du capital. Il en résulte que T________ n‘a pas été enrichie, du fait du versement anticipé au 1 er décembre 2001 des prestations de B________.</w:t>
      </w:r>
    </w:p>
    <w:p>
      <w:r>
        <w:rPr>
          <w:b/>
        </w:rPr>
        <w:t>E. 9.2</w:t>
      </w:r>
    </w:p>
    <w:p>
      <w:r>
        <w:t>Est en revanche imputable le montant perçu par T________ du SECO, soit 30'239 fr. 05, valeur à fin octobre 2002, date du versement.</w:t>
      </w:r>
    </w:p>
    <w:p>
      <w:r>
        <w:rPr>
          <w:b/>
        </w:rPr>
        <w:t>E. 10</w:t>
      </w:r>
    </w:p>
    <w:p>
      <w:r>
        <w:t>T________ réclame enfin 20'000 fr. à titre d’indemnité pour les facilités de transport dont elle s’estime privée.</w:t>
      </w:r>
    </w:p>
    <w:p>
      <w:r>
        <w:rPr>
          <w:b/>
        </w:rPr>
        <w:t>E. 10.1</w:t>
      </w:r>
    </w:p>
    <w:p>
      <w:r>
        <w:t>Les premiers juges, sans les déclarer formellement irrecevables, ont estimé insuffisamment motivées les conclusions de T________ tendant au paiement de 20'000 fr. à titre de contre-valeur des facilités de transport dont elle est privée, en se fondant sur l’article 11 LJP et les dispositions de la loi de procédure civile (en particulier l’art. 7 LPC). T________ ne motive pas expressément son appel sur ce point ; elle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des prud’hommes.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 Les conclusions prises en relation avec les facilités de transport, prises oralement à titre additionnel lors de l’audience devant les premiers juges, étaient dès lors recevables devant le Tribunal, comme elles le sont devant la Cour.</w:t>
      </w:r>
    </w:p>
    <w:p>
      <w:r>
        <w:rPr>
          <w:b/>
        </w:rPr>
        <w:t>E. 10.2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 Le règlement de 1996 a été remplacé par une nouvelle édition, de 1997, à l’en-tête de C________. Celle-ci comporte des clauses identiques à la version de 1996, en particulier aux art. 2 et 7.2. L’art. 7.5. est complété par l’indication que le règlement ne fait pas partie intégrante du contrat de travail. Le tableau A, annexé (p.29) distingue d’une part les retraités, d’autre part les « personnes ayant le statut de retraités ». 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 ; aucune prétention ne peut être formulée sur la baes du règlement. En outre, celui-ci peut être modifié unilatéralement par A________. Amené à se prononcer sur la nature et la portée desdits règlements, au regard des plans sociaux adoptés en 1993 et 1995, le Tribunal fédéral a admis que ceux-ci constituaient des clauses intégrées aux contrats de travail des employés au sol de C________,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de 1988 étant partie intégrante du contrat de travail de T________, repris par E_____________ après sa filialisation avec effet au 1 er janvier 1993, cette dernière, en sa qualité d’employeur, est bien la débitrice des droits que celui-ci confère à l’employé. Sa légitimation passive doit, partant, également être admise s’agissant des prétentions que celle-ci fait valoir à cet égard. Le Tribunal fédéral a sur le sujet relevé que l’art. 9 des plans sociaux, de même que l’art. 2.1 du règlement de 1996 conférait bien des « droits » aux bénéficiaires des facilités de transport, ce qui, lié à la notion de « règlement » impliquait une obligation à la charge de C________.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 et non sur ceux d’autres compagnies.</w:t>
      </w:r>
    </w:p>
    <w:p>
      <w:r>
        <w:rPr>
          <w:b/>
        </w:rPr>
        <w:t>E. 10.3</w:t>
      </w:r>
    </w:p>
    <w:p>
      <w:r>
        <w:t>La question de s’arrête toutefois pas là. Ainsi que l’a relevé le Tribunal fédéral, le règlement sur les facilités de transport peut en effet en tout temps être modifié par C________,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C’est dans ce sens que doit, en application du principe de la confiance, être compris le fait que les facilités « reposent sur le bon vouloir de A________ (respectivement C________); aucune prétention ne pouvant être formulée sur la base du règlement, lequel peut être modifié sans préavis ». A cela s’ajoute qu’en raison du « grounding » des lignes aériennes A________, dont E_____________ ne peut être tenue pour responsable, l’octroi de facilités de transport au sens du règlement susmentionné est devenu objectivement impossible pour E_____________ (art. 119 al. 1 CO ; Thévenaz/Werro, Comm. romand, no 6 ad art. 97 CO). Ce qui précède exclut toute possibilité de réclamer des dommages-intérêts en relation avec la perte des facilités prévues. Ce nonobstant, T________ peut prétendre à un traitement identique avec les retraités de E_____________ (ATF du 5 janvier 1999, causes 4P.168/1998 et 4C.264/1998 ), dont il n’est pas exclu qu’ils puissent bénéficier, actuellement et à l’avenir, et cela même si E_____________ a été racheté par H__________, de telles facilités auprès de compagnies aériennes tierces. La Cour condamnera dès lors E_____________ à la mettre au bénéfice des mêmes facilités de transport que ses retraités.</w:t>
      </w:r>
    </w:p>
    <w:p>
      <w:r>
        <w:rPr>
          <w:b/>
        </w:rPr>
        <w:t>E. 11</w:t>
      </w:r>
    </w:p>
    <w:p>
      <w:r>
        <w:t>Les considérants qui précèdent conduisent à la modification du jugement entrepris. L’appel de E_____________ n’a pas donné lieu au paiement d’un émolument de mise au rôle, la valeur litigieuse étant inférieure à fr. 30'000.-. Celui de T________ portait en revanche sur une valeur litigieuse de fr. 80'498.10 [(fr. 38'864.70 = fr. 2'776.05 X 14) + (fr. 15'000.- = fr. 2'500.- x 6) + (fr. 1'658.35 X 4 = fr. 6'633.40) + fr. 20'000.-]. L’appel de T________ est très largement fondé. Il se justifie, partant, de condamner E_____________ à payer à l’Etat de Genève, auprès des Services financiers du Pouvoir judiciaire, l’émolument d’appel, lequel se monte à fr. 800.- (huit cents francs).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