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C/29313/2019 vom 20. Dezember 2022</w:t>
      </w:r>
    </w:p>
    <w:p>
      <w:r>
        <w:t>GE Cour de justice, 2022-12-20, FR</w:t>
      </w:r>
    </w:p>
    <w:p>
      <w:r>
        <w:rPr>
          <w:b/>
        </w:rPr>
        <w:t xml:space="preserve">Quelle: </w:t>
      </w:r>
      <w:r>
        <w:t>https://mcp.opencaselaw.ch/entscheid/ge_gerichte_C_29313_2019</w:t>
      </w:r>
    </w:p>
    <w:p>
      <w:r>
        <w:t>FR: GE_GERICHTE C/29313/2019 du 20 décembre 2022</w:t>
      </w:r>
    </w:p>
    <w:p>
      <w:r>
        <w:t>IT: GE_GERICHTE C/29313/2019 del 20 dicembre 2022</w:t>
      </w:r>
    </w:p>
    <w:p>
      <w:pPr>
        <w:pStyle w:val="Heading2"/>
      </w:pPr>
      <w:r>
        <w:t>Erwägungen</w:t>
      </w:r>
    </w:p>
    <w:p>
      <w:r>
        <w:rPr>
          <w:b/>
        </w:rPr>
        <w:t>E. 5</w:t>
      </w:r>
    </w:p>
    <w:p>
      <w:r>
        <w:t>5.1 Lorsque la Cour statue à nouveau, elle se prononce sur les frais fixés par le Tribunal de première instance (art. 318 al. 3 CPC). Les frais, qui comprennent les frais judiciaires et les dépens, sont mis à la charge de la partie qui succombe (art. 95 et 106 al. 1 CPC). Lorsqu'aucune des parties n'obtient entièrement gain de cause, les frais sont répartis selon le sort de la cause (art. 106 al. 2 CPC). Le juge peut s'écarter des règles générales et répartir les frais selon sa libre appréciation, notamment lorsque le litige relève du droit de la famille (art. 107 al. 1 let. c CPC). Les parties ne critiquent ni la quotité ni la répartition des frais de première instance, laquelle apparaît au demeurant conforme au règlement fixant le tarif des frais en matière civile (art. 95 CPC et 30 RTFMC), lesquelles seront dès lors confirmées.</w:t>
      </w:r>
    </w:p>
    <w:p>
      <w:r>
        <w:rPr>
          <w:b/>
        </w:rPr>
        <w:t>E. 5.2</w:t>
      </w:r>
    </w:p>
    <w:p>
      <w:r>
        <w:t>Les frais judiciaires de la procédure d'appel seront arrêtés à 1'250 fr. (art. 30 al. 1 et 35 RTFMC) et seront mis à la charge des parties pour moitié chacune, compte tenu du sort et de la nature familiale du litige (art. 106 al. 2 et 107 al. 1 let. c CPC). Dès lors que l'intimée plaide au bénéfice de l'assistance judiciaire (art. 122 al. 2 CPC), la part des frais à sa charge, de 625 fr., sera provisoirement laissée à la charge de l'Etat de Genève, qui pourra en demander le remboursement ultérieurement (art. 123 CPC). La part de l'appelant sera compensée à hauteur de 625 fr. avec l'avance de 1'250 fr. fournie par lui et le solde lui sera restitué. Au vu de la nature du litige, il ne sera pas alloué de dépens d'appel (art. 107 al. 1 let. c CPC). * * * * * PAR CES MOTIFS, La Chambre civile : A la forme : Déclare recevable l'appel interjeté le 28 décembre 2021 par A______ contre les chiffres 5 et 6 du dispositif du jugement JTPI/14551/2021 rendu le 15 novembre 2021 par le Tribunal de première instance dans la cause C/29313/2019. Au fond : Annule le chiffre 6 du dispositif de ce jugement et, statuant à nouveau sur ce point : Fixe le droit de visite entre B______ et sa fille G______, née le ______ 2010, à raison de deux séances par mois auprès de I______ [centre de consultations familiales]. Confirme le jugement entrepris pour le surplus. Déboute les parties de toutes autres conclusions. Sur les frais : Arrête les frais judiciaires d'appel à 1'250 fr., les met à la charge de chacune des parties par moitié et les compense à concurrence de 625 fr. avec l'avance de 1'250 fr. fournie par A______. Invite les Services financiers du Pouvoir judiciaire à restituer le solde de l'avance de frais en 625 fr. à A______. Laisse provisoirement la part des frais de B______ à la charge de l'Etat de Genève, sous réserve d'une décision contraire de l'assistance juridique. Dit que chaque partie supporte ses propres dépens d'appel. Siégeant : Madame Jocelyne DEVILLE-CHAVANNE, présidente; Madame Verena PEDRAZZINI RIZZI, Madame Nathalie LANDRY-BARTHE, juges; Madame Jessica ATHMOUNI,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