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C/2925/2021 vom 21. Januar 2025</w:t>
      </w:r>
    </w:p>
    <w:p>
      <w:r>
        <w:t>GE Cour de justice, 2025-01-21, FR</w:t>
      </w:r>
    </w:p>
    <w:p>
      <w:r>
        <w:rPr>
          <w:b/>
        </w:rPr>
        <w:t xml:space="preserve">Quelle: </w:t>
      </w:r>
      <w:r>
        <w:t>https://mcp.opencaselaw.ch/entscheid/ge_gerichte_C_2925_2021</w:t>
      </w:r>
    </w:p>
    <w:p>
      <w:r>
        <w:t>FR: GE_GERICHTE C/2925/2021 du 21 janvier 2025</w:t>
      </w:r>
    </w:p>
    <w:p>
      <w:r>
        <w:t>IT: GE_GERICHTE C/2925/2021 del 21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l'instauration d'une curatelle d'organisation et de surveillance des relations personnelles, soit sur une affaire non pécuniaire dans son ensemble (arrêt du Tribunal fédéral 5A_499/2023 du 26 février 2024 consid. 1 et les références citées), de sorte que la voie de l’appel est ouverte indépendamment de la valeur litigieuse (arrêt du Tribunal fédéral 5A_611/2019 du 29 avril 2020 consid. 1).</w:t>
      </w:r>
    </w:p>
    <w:p>
      <w:r>
        <w:rPr>
          <w:b/>
        </w:rPr>
        <w:t>E. 1.2</w:t>
      </w:r>
    </w:p>
    <w:p>
      <w:r>
        <w:t>Interjeté dans le délai utile de trente jours (art. 142 al. 1, 145 al. 1 let. c et 311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rPr>
          <w:b/>
        </w:rPr>
        <w:t>E. 1.4</w:t>
      </w:r>
    </w:p>
    <w:p>
      <w:r>
        <w:t>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128 III 4 .11 consid. 3.2.1; arrêt du Tribunal fédéral 5A_762/2013 du 27 mars 2014 consid. 4.1). La liquidation du régime matrimonial est soumise à la maxime de disposition (art. 58 al. 1 CPC), ainsi qu'à la maxime des débats atténuée (art. 55 al. 1 et 277 al. 1 CPC). 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1.5</w:t>
      </w:r>
    </w:p>
    <w:p>
      <w:r>
        <w:t>L'intimée à l'appel peut critiquer dans sa réponse les considérants et les constats du jugement attaqué qui pourraient lui être défavorables au cas où l'instance d'appel jugerait la cause différemment (arrêt du Tribunal fédéral 5A_946/2018 du 6 mars 2019 consid. 2.3 et les références citées).</w:t>
      </w:r>
    </w:p>
    <w:p>
      <w:r>
        <w:rPr>
          <w:b/>
        </w:rPr>
        <w:t>E. 1.6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5, 7, 8, 12 à 15 du dispositif du jugement entrepris, non remis en cause par les parties, sont entrés en force de chose jugée (art. 315 al. 1 CPC).</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tous les novas sont admis, même si les conditions de l’art. 317 al. 1 CPC ne sont pas réunies (ATF 144 III 349 consid. 4.2.1). Selon l'art. 317 al. 2 CPC, la demande ne peut être modifiée en appel que si les conditions fixées à l'art. 227 al. 1 CPC sont remplies (let. a) et si la modification repose sur des faits ou des moyens de preuve nouveaux (let. b).</w:t>
      </w:r>
    </w:p>
    <w:p>
      <w:r>
        <w:rPr>
          <w:b/>
        </w:rPr>
        <w:t>E. 2.2.1</w:t>
      </w:r>
    </w:p>
    <w:p>
      <w:r>
        <w:t>En l’espèce, les pièces nouvellement produites par les parties se rapportent à la nouvelle situation financière de l'appelant, laquelle est susceptible d'avoir une incidence sur le montant des contributions mensuelles d'entretien éventuellement dues en faveur de ses filles. Lesdites pièces concernent aussi la relation entre les parties et leurs enfants, afin de réexaminer la question de l'instauration d'une curatelle d'organisation et de surveillance des relations personnelles. Par conséquent, les pièces nouvelles sont recevables, de même que les faits qui s'y rapportent.</w:t>
      </w:r>
    </w:p>
    <w:p>
      <w:r>
        <w:rPr>
          <w:b/>
        </w:rPr>
        <w:t>E. 2.2.2</w:t>
      </w:r>
    </w:p>
    <w:p>
      <w:r>
        <w:t>Par ailleurs, les conclusions nouvelles de l'intimée en relation avec les pensions alimentaires réclamées pour les enfants sont recevables, vu les maximes applicables sur ce point, étant rappelé que la Cour n'est pas liée par les conclusions des parties à cet égard.</w:t>
      </w:r>
    </w:p>
    <w:p>
      <w:r>
        <w:rPr>
          <w:b/>
        </w:rPr>
        <w:t>E. 3</w:t>
      </w:r>
    </w:p>
    <w:p>
      <w:r>
        <w:t>L’intimée sollicite préalablement qu'il soit ordonné à l'appelant de renseigner sur ses revenus, sa fortune et ses charges et de produire tout document relatif à sa situation financière. Elle demande que l'audition des parties soit réservée, de même que son droit d'amplifier sa duplique ou de modifier ses conclusions et de déposer des pièces complémentaires, voire de nouveaux allégués.</w:t>
      </w:r>
    </w:p>
    <w:p>
      <w:r>
        <w:rPr>
          <w:b/>
        </w:rPr>
        <w:t>E. 3.1</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En règle générale, la procédure d'appel est conduite sur pièces, sans audience ni administration de preuves (ATF 142 III 413 consid. 2.2.1; arrêts du Tribunal fédéral 5A_647/2023 du 5 mars 2024 consid. 4.2.2 et 5A_79/2023 du 4 août 2023 consid. 3.3.2). Si l'instance d'appel peut librement décider d'administrer des preuves en vertu de l'art. 316 al. 3 CPC, cette disposition ne confère pas au justiciable un droit à la réouverture de la procédure probatoire et à l'administration de preuves (ATF 144 III 394 consid. 4.1.3 et les arrêts cités). Le droit à la preuve, comme le droit à la contre-preuve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Il n'en va pas différemment lorsque le procès est soumis à la maxime inquisitoire (art. 55 al. 2 et 296 al. 1 CPC; ATF 138 III 374 consid. 4.3.2; 130 III 734 consid. 2.2.3; arrêt du Tribunal fédéral 5A_79/2023 du 4 août 2023 consid. 3.3.2), également applicable en appel (arrêt du Tribunal fédéral 5A_79/2023 du 4 août 2023 consid. 3.3.2).</w:t>
      </w:r>
    </w:p>
    <w:p>
      <w:r>
        <w:rPr>
          <w:b/>
        </w:rPr>
        <w:t>E. 3.2</w:t>
      </w:r>
    </w:p>
    <w:p>
      <w:r>
        <w:t>En l'espèce, déférant à l'ordonnance de preuve ORTPI/382/2022 du 6 avril 2022, l'appelant a produit de nombreuses pièces relatives à sa fortune et à ses revenus, lesquelles ont permis d'établir sa situation financière. L'intimée n'a pas exposé les raisons pour lesquelles ces documents seraient insuffisants, ni dressé une liste précise des justificatifs qui devraient à son sens encore être versés à la procédure. Dans ces conditions, il ne se justifie pas d'ordonner à l'appelant de produire des pièces complémentaires. L'intimée n'explique pas davantage en quoi une audition des parties serait nécessaire pour l'issue du litige. La Cour estime être suffisamment renseignée sur la situation financière de l'appelant, la cause étant en état d'être jugée. Par ailleurs, la demande de l'intimée visant à compléter ses écritures, modifier ses conclusions, déposer des pièces supplémentaires, ou formuler de nouveaux allégués est sans objet, puisqu'elle a eu la possibilité de se déterminer spontanément et de produire des pièces justificatives durant la procédure de seconde instance. Il s'ensuit que les conclusions préalables de l'intimée sont rejetées.</w:t>
      </w:r>
    </w:p>
    <w:p>
      <w:r>
        <w:rPr>
          <w:b/>
        </w:rPr>
        <w:t>E. 4</w:t>
      </w:r>
    </w:p>
    <w:p>
      <w:r>
        <w:t>L'appelant fait valoir qu'il ne devrait plus être astreint à contribuer à l'entretien de ses filles. 4.1.1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Font notamment partie de tels revenus les rentes d’enfants de l’AVS/AI, ainsi que les aides publiques ou privées à la formation (Piotet/Gauron-Carlin, Commentaire romand, Code civil I, 2023, n. 44 ad art. 276 CC). Selon l'art. 276a al. 1 CC, l'obligation d’entretien envers un enfant mineur prime les autres obligations d’entretien du droit de la famille. 4.1.2 La contribution d’entretien doit correspondre aux besoins de l’enfant ainsi qu’à la situation et aux ressources de ses père et mère; il est tenu compte de la fortune et des revenus de l’enfant (art. 285 al. 1 CC).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 du Tribunal fédéral 5A_117/2021 du 9 mars 2022 consid. 4.2). La contribution d’entretien sert aussi à garantir la prise en charge de l’enfant par les parents et les tiers (art. 285 al. 2 CC). 4.1.3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arrêt du Tribunal fédéral 5A_945/2022 du 2 avril 2024 consid. 7.1 et les références citées). Seul le revenu net peut être pris en considération dans la détermination de la capacité contributive (arrêt du Tribunal fédéral 5A_729/2022 du 24 mai 2024 consid. 5.2.2.2). Lorsque les moyens à disposition permettent de couvrir le minimum vital élargi du droit de la famille, l'excédent éventuel doit être réparti en équité entre les ayants droit (ATF 147 III 265 consid. 7.2-7.3; arrêt du Tribunal fédéral 5A_945/2022 du 2 avril 2024 consid. 7.1), étant précisé que l'entretien des enfants majeurs est limité à la couverture du minimum vital élargi (cf. ATF 147 III 265 consid. 7.2 in fine). L'attribution d'une part de l'excédent aux enfants doit permettre de couvrir des postes de dépenses tels que les loisirs et les voyages (ATF 147 III 265 consid. 7.2; arrêt du Tribunal fédéral 5A_447/2023 du 16 juillet 2024 consid. 7.1). La répartition se fait généralement par " grandes et petites têtes ", en ce sens que chacun des parents reçoit le double de chacun des enfants mineurs;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Le juge jouit d'un large pouvoir d'appréciation en la matière (art. 4 CC; arrêts du Tribunal fédéral 5A_447/2023 du 16 juillet 2024 consid. 7.1; 5A_994/2022 du 1 er décembre 2023 consid. 5.2.1; 5A_330/2022 du 27 mars 2023 consid. 4.2.3). 4.1.3.1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 et les arrêts cités).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précité consid. 3.1) 4.1.3.2 Les besoins des parties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en considération: les impôts, les forfaits de télécommunication, les assurances, les frais de logement correspondant à la situation (plutôt que fondés sur le minimum d'existence) et les primes d'assurance-maladie complémentaires. Chez l'enfant, le minimum vital du droit de la famille comprend une part des impôts, une part au logement du parent gardien et les primes d'assurance-maladie complémentaires.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tous les cas, le minimum vital du débirentier doit être préservé (ATF 141 III 401 consid. 4.1; arrêt du Tribunal fédéral 5A_455/2019 du 23 juin 2020 consid. 5.4.2). 4.1.3.3 Selon l’art. 285a al. 1 et 2 CC, les allocations familiales, les rentes d’assurances sociales et les autres prestations destinées à l’entretien de l’enfant, qui reviennent à la personne tenue de pourvoir à son entretien, doivent être versées en sus de la contribution d’entretien. Il s’agit notamment des rentes pour enfants selon les art. 35 LAI, 22ter LAVS ainsi que 17 et 25 LPP (arrêt du Tribunal fédéral 5A_372/2016 du 18 novembre 2016 consid. 5.1.1 et les arrêts citées).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ACJC/1067/2024 du 3 septembre 2024 consid. 6.1.3.1). 4.1.3.4 Les mesures provisionnelles (ici : les mesures protectrices de l'union conjugale) demeurent en vigueur jusqu'à ce que les effets accessoires du divorce encore litigieux soient réglés de manière définitive, que le mariage soit ou non déjà dissous (ATF 145 III 36 consid. 2.4; arrêts du Tribunal fédéral 5A_202/2022 du 24 mai 2023 consid. 7.1; 5A_1035/2021 du 2 août 2022 consid. 3). 4.1.4 Selon l'art. 301a let. c CPC, la décision qui fixe les contributions d’entretien indique le montant nécessaire pour assurer l’entretien convenable de chaque enfant. L'entretien convenable de 301a let. c CPC ne doit être mentionné dans le dispositif que dans les situations de déficit (arrêt du Tribunal fédéral 5A_729/2022 du 24 mai 2024 consid. 6.2).</w:t>
      </w:r>
    </w:p>
    <w:p>
      <w:r>
        <w:rPr>
          <w:b/>
        </w:rPr>
        <w:t>E. 4.2</w:t>
      </w:r>
    </w:p>
    <w:p>
      <w:r>
        <w:t>En l'espèce, il convient de se fonder sur les revenus et charges actualisés des membres de la famille pour statuer sur les contributions d'entretien qui seront versées à compter de l'entrée en force de la présente décision. La période antérieure est encore régie par les mesures protectrices de l'union conjugale, l'appelant n'ayant pas contesté la décision du premier juge en tant qu'elle le déboute des conclusions prises sur mesures provisionnelles.</w:t>
      </w:r>
    </w:p>
    <w:p>
      <w:r>
        <w:rPr>
          <w:b/>
        </w:rPr>
        <w:t>E. 4.2.1</w:t>
      </w:r>
    </w:p>
    <w:p>
      <w:r>
        <w:t>La situation financière actuelle de l'appelant n'est pas très claire. Au moment où la décision de première instance a été rendue, en décembre 2023, le Tribunal a retenu que les revenus de l'appelant s'élevaient à 3'817 fr. 53, ce qui correspondait aux indemnités qu'il percevait du chômage, selon les éléments qui figuraient alors au dossier. Or, il résulte des éléments nouvellement fournis en seconde instance que l'appelant a retrouvé un emploi à plein temps auprès de O______ SA en mai 2023, pour un salaire mensuel net de 4'219 fr. Par la suite, une décision de l'OCAI du mois de février 2024 lui a octroyé le droit à une rente d'invalidité de 838 fr. par mois, sur la base d'un degré d'invalidité de 49%, tout en précisant que sa capacité de travail était de 70% dans une activité adaptée à son état de santé. A la suite de cette décision, l'appelant a réduit à 70% son taux de travail auprès de O______ SA, avec effet au 1 er avril 2024, ce qui a réduit son salaire mensuel net à 3'791 fr. D'après les informations les plus récentes qui ont été versées au dossier, le versement de la rente AI de l'appelant et des rentes pour enfants a été suspendu dès le mois d'octobre 2024 et une procédure de révision de ces rentes est en cours, car l'OCAI a appris que l'appelant avait repris une activité professionnelle en mai 2023 déjà. Compte tenu des éléments qui précèdent, la réponse à la question de savoir si la rente AI de l'appelant sera maintenue (cas échéant, pour quel montant) apparaît incertaine. Dans l'affirmative, les revenus mensuels de l'intéressé totaliseraient 4'629 fr. (3'791 fr. de salaire + 838 fr. de rente AI), si l'on se base sur les montants perçus jusqu'en octobre 2024. Cependant, dans la mesure où l'appelant a été en mesure de travailler à 100% du mois de mai 2023 au mois de mars 2024, il semble a priori peu probable que son droit à une rente AI soit maintenu. Dès lors que l'appelant a volontairement réduit son taux d'activité à 70% depuis avril 2024 alors que rien n'indique que son état de santé ne lui permettait pas de continuer à travailler à 100%, l'appelant sera réputé réaliser un revenu de 4'219 fr., correspondant à ce qu'il a perçu entre les mois de mai 2023 et mars 2024. Le certificat médical du mois de décembre 2024 n'est pas susceptible de remettre en cause ce qui précède. En effet, celui-ci fait état d'une incapacité partielle de travail durant moins de deux mois et rien n'indique que cette incapacité partielle de travail perdurera dans le temps. En ce qui concerne les charges de l'appelant, les frais de véhicule invoqués ne seront pas pris en compte, puisque l'intéressé a reconnu, en première instance, qu'il ne pouvait plus conduire en raison d'apnées du sommeil et qu'il n'a ni allégué ni démontré que la situation aurait changé depuis lors. Les frais de véhicule n'étant pas admis dans le budget de l'appelant, ceux relatifs à la place de parking seront également écartés. La prise en compte de la moitié des frais de loyer et du montant de base OP pour couple du fait de la situation de concubinage de l'appelant n'est pas remise en cause en appel. La charge de loyer du précité sera donc retenue à concurrence de 1'543 fr. (3'087 fr. / 2), ce qui n'apparaît pas comme une charge excessive, contrairement à ce que fait valoir l'intimée. Par ailleurs, la prime LAMal de l'appelant se montera à 296 fr. 65 par mois (546 fr. 65 – 250 fr. de subside, ce dernier montant n'étant pas remis en cause en appel). Les frais médicaux nouvellement invoqués en décembre 2024 ne seront pas retenus dans le budget de l'appelant, puisqu'aucun élément n'indique qu'ils seraient récurrents. En effet, l'ordonnance médicale prescrivant un traitement non remboursé par les assurances est renouvelable pour une période de trois mois seulement. Le budget de l'appelant présente ainsi un total de 2'774 fr. 15, comprenant 850 fr. de base mensuelle d'entretien, 1'543 fr. de loyer, 296 fr. 65 de prime LAMal, 14 fr. 50 de prime LCA et 70 fr. d'abonnement TPG. Aucune charge d'impôt n'a été alléguée. Le disponible mensuel de l'appelant s'élève ainsi à 1'444 fr. 85 (4'219 fr. – 2'774 fr. 15).</w:t>
      </w:r>
    </w:p>
    <w:p>
      <w:r>
        <w:rPr>
          <w:b/>
        </w:rPr>
        <w:t>E. 4.2.2</w:t>
      </w:r>
    </w:p>
    <w:p>
      <w:r>
        <w:t>Le revenu (4'940 fr.) et les charges mensuelles de l'intimée (2'735 fr.) ne sont pas contestés. Elle bénéficie d'un disponible mensuel de 2'205 fr. et est ainsi en mesure de couvrir ses charges mensuelles, raison pour laquelle la question d'une contribution de prise en charge ne se pose pas.</w:t>
      </w:r>
    </w:p>
    <w:p>
      <w:r>
        <w:rPr>
          <w:b/>
        </w:rPr>
        <w:t>E. 4.2.3</w:t>
      </w:r>
    </w:p>
    <w:p>
      <w:r>
        <w:t>Aucune rente AI pour enfant ne sera prise en compte à ce stade, vu que leur versement a été suspendu et que rien ne permet à ce stade de retenir qu'il reprendra à l'avenir. Les charges mensuelles de C______, arrêtées à 944 fr., ne sont pas contestées. Il convient cependant de les actualiser, au vu de l'augmentation des primes d'assurance-maladie en 2025 (hausse de 27 fr. au total). Les charges mensuelles de C______ totalisent dès lors 971 fr. Ainsi, après déduction des allocations familiales (311 fr.), les besoins mensuels de C______ s'élèvent à 660 fr. Après actualisation des primes d'assurance-maladie (hausse totale de 29 fr. 45 par mois), les charges mensuelles de D______ totalisent 989 fr. 45. Après déduction des allocations familiales, les besoins de D______ s'élèvent au montant arrondi de 680 fr. par mois.</w:t>
      </w:r>
    </w:p>
    <w:p>
      <w:r>
        <w:rPr>
          <w:b/>
        </w:rPr>
        <w:t>E. 4.2.4</w:t>
      </w:r>
    </w:p>
    <w:p>
      <w:r>
        <w:t>L'appelant fait valoir que sa fille J______, devenue majeure le ______ mars 2024, vit désormais chez lui à plein temps. Ses allégués sur ce point semblent corroborés par le fait que divers courriers, tels que celui de la [caisse d'allocations familiales] T______ ou de la caisse d'assurance-maladie, ont été envoyés à J______ à l'adresse (précédente) de son père (alors qu'à teneur du jugement de divorce de ses parents, J______ était domiciliée chez sa mère). Quoi qu'il en soit, cette question peut demeurer indécise, puisqu'il n'est pas établi que l'appelant serait encore légalement tenu de contribuer à l'entretien de sa fille J______ (cf. art. 277 CC). En effet, le droit aux allocations familiales de J______ a pris fin en juillet 2024 et aucun élément du dossier ne permet de retenir que celle-ci poursuivrait des études ou une formation, l'appelant n'ayant fourni aucune indication à cet égard. En tout état, il y a lieu de rappeler que l'obligation d’entretien de l'appelant envers ses filles mineures prime ses éventuelles autres obligations d’entretien du droit de la famille (cf. art. 276a al. 1 CC).</w:t>
      </w:r>
    </w:p>
    <w:p>
      <w:r>
        <w:rPr>
          <w:b/>
        </w:rPr>
        <w:t>E. 4.2.6</w:t>
      </w:r>
    </w:p>
    <w:p>
      <w:r>
        <w:t>L'intimée assume l’essentiel de l’entretien en nature de C______ et D______. Cependant, l'appelant dispose d'un large droit de visite sur ses filles, lequel s'exerce au minimum une semaine sur deux, du vendredi de la sortie de l'école au mardi 18h30. Au regard de ce qui précède, du fait que la situation financière de l'appelant est instable en raison de ses problèmes de santé et que l'intimée bénéficie d'un disponible sensiblement plus important que le précité, il peut raisonnablement être exigé d'elle qu'elle participe aussi à la charge financière des enfants. En effet, si l'appelant devait entièrement couvrir les besoins mensuels de ses filles, tels qu'arrêtés ci-dessus (660 fr. pour C______ et 680 fr. pour D______), il ne lui resterait qu'un excédent de 100 fr. environ. Il apparaît dès lors plus équitable de condamner l'appelant à participer à ces frais à hauteur de 400 fr. par enfant, comme retenu par le premier juge, le solde demeurant à la charge de l'intimée. Après couverture de sa part des frais des enfants, il restera encore à l'intimée un solde de 1'665 fr. (2'205 fr. – 260 fr. – 280 fr.), qui est suffisant pour couvrir également les frais liés aux loisirs et vacances de ses filles et ses propres dépenses excédant le minimum vital élargi. L'appelant sera dès lors condamné à payer en mains de l'intimée, à titre de contribution à l'entretien de ses filles, le montant mensuel de 400 fr. par enfant depuis le prononcé du jugement de première instance. Afin de tenir compte des coûts notoirement plus élevés à l'adolescence, le montant de la pension alimentaire due par l'appelant en faveur de ses filles sera porté à 500 fr. par mois dès l'âge de 16 ans, jusqu'à la majorité, voire au-delà en cas de formation régulièrement suivie. Les montants ainsi fixés sont équitables, au regard des besoins des enfants et des situations financières respectives de leurs parents. Au vu de l'incertitude au sujet du droit de l'appelant à bénéficier des prestations de l'AI, il sera précisé dans le dispositif de la présente décision que les éventuelles rentes pour enfant que percevraient C______ et D______ devront être déduites des pensions alimentaires dues par leur père. Si ces rentes devaient dépasser le montant des contributions fixées par le présent arrêt, elles devraient être reversées en totalité en faveur des enfants. Enfin, il n'y a pas lieu de mentionner dans le dispositif du présent arrêt le montant de l'entretien convenable des enfants dès lors qu'il n'y a pas de situation de déficit. Les chiffres 7 à 10 du dispositif du jugement attaqué seront annulés et il sera statué conformément à ce qui précède.</w:t>
      </w:r>
    </w:p>
    <w:p>
      <w:r>
        <w:rPr>
          <w:b/>
        </w:rPr>
        <w:t>E. 5</w:t>
      </w:r>
    </w:p>
    <w:p>
      <w:r>
        <w:t>L'appelant a conclu à l'annulation du chiffre 11 du dispositif du jugement attaqué qui prévoit une clause d'indexation des contributions d'entretien destinées à ses filles. Faute de motivation sur ce point (cf. art. 311 al. 1 CPC), ce chef de conclusion est irrecevable (ATF 138 III 374 consid. 4.3.1). La clause d'indexation sera dès lors maintenue, étant précisé que sa teneur doit être adaptée, en ce sens que l'indice genevois des prix à la consommation sera la première fois celui du 1 er janvier 2026 et l'indice de référence sera celui en vigueur au moment du prononcé du présent arrêt. Il sera donc statué conformément à ce qui précède.</w:t>
      </w:r>
    </w:p>
    <w:p>
      <w:r>
        <w:rPr>
          <w:b/>
        </w:rPr>
        <w:t>E. 6</w:t>
      </w:r>
    </w:p>
    <w:p>
      <w:r>
        <w:t>L'appelant reproche au Tribunal d'avoir instauré une curatelle d'organisation et de surveillance des relations personnelles.</w:t>
      </w:r>
    </w:p>
    <w:p>
      <w:r>
        <w:rPr>
          <w:b/>
        </w:rPr>
        <w:t>E. 6.1</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du Tribunal fédéral 5A_603/2022 du 28 avril 2023 consid. 3.1.1, 5A_415/2020 du 18 mars 2021 consid. 6.1; 5A_983/2019 du 13 novembre 2020 consid. 9.1 et les références citées).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(arrêt du Tribunal fédéral 5A_983/2019 du 13 novembre 2020 consid. 9.1; A_819/2016 du 21 février 2017 consid. 8.3.2 et la jurisprudence citée). L'autorité qui ordonne une mesure de protection de l'enfant dispose à cet égard d'un large pouvoir d'appréciation (art. 4 CC). Il en va de même de l'autorité de seconde instance (arrêt du Tribunal fédéral 5A_603/2022 du 28 avril 2023 consid. 3.1.1).</w:t>
      </w:r>
    </w:p>
    <w:p>
      <w:r>
        <w:rPr>
          <w:b/>
        </w:rPr>
        <w:t>E. 6.2</w:t>
      </w:r>
    </w:p>
    <w:p>
      <w:r>
        <w:t>En l'espèce, la question de l'instauration d'une curatelle d'organisation et de surveillance des relations personnelles a été soulevée pour la première fois lors de l'audience de débats principaux du 14 novembre 2022, postérieurement à la reddition du rapport du SEASP du 10 février 2022. Ce dernier n'avait pas évoqué la mise en place d'une telle mesure, préconisant le maintien de la situation existante, soit l'attribution de la garde exclusive à la mère, dès lors que les mineurs se portaient bien et évoluaient favorablement. Lors de l'audience susmentionnée, le conflit entre les parents était persistant et aigu, puisqu'ils s'affrontaient au sujet du mode de garde de leurs filles. Or, en seconde instance, cet aspect n'est plus litigieux. Les horaires de l'appelant sont devenus réguliers, comme attesté par son employeur, ce qui devrait contribuer à réduire les tensions entre les parents et faciliter la mise en place d'un droit de visite régulier. L'intimée a également été invitée à planifier les activités extra-scolaires des enfants sans empiéter sur le temps de visite du père ou à s'accorder avec lui sur ce point, ce qui devrait éliminer les tensions récurrentes entre les parents sur ce point. L'intervenante du SEASP a fait état de " petites difficultés de communication " entre les parents et des " points d'organisation rest[ant] quelque peu conflictuels ", mais aucun élément n'indique que cela ne va pas s'apaiser au terme de la procédure de seconde instance. Il est vrai que la cadette a refusé à une reprise de se rendre chez son père, ce qu'il a admis. Selon l'intimée, le refus de sa fille serait régulier, ce que l'appelant conteste. Cela étant, l'intimée n'a pas fourni d'élément factuel précis pour étayer ces affirmations (tels que date ou contexte), ni démontré en quoi le développement de sa fille serait menacé lorsqu'elle se rend chez son père, étant précisé qu'elle n'a pas remis en cause le droit de visite de celui-là. L'une des conditions nécessaires à l'instauration d'une curatelle de surveillance du droit de visite n'est, dès lors, pas réalisée. De plus, l'appelant ne s'est pas plaint de ce que cette situation l'empêcherait d'exercer son droit de visite sur sa cadette, de sorte que cette condition n'est également pas réalisée. Enfin, les parents ont suivi une médiation parentale, laquelle a amélioré leur communication. L'intervenante du SEASP les a encouragés à reprendre un tel processus si nécessaire, afin de favoriser la communication et respecter leurs obligations parentales, notamment celle de veiller à ne pas perturber les relations de leurs filles avec l'autre parent et de ne pas rendre l'éducation plus difficile (cf. art. 274 al. 1 CC). Au vu de ce qui précède, l'appel est fondé sur ce point, l'instauration d'une curatelle d'organisation et de surveillance du droit de visite n'apparaissant pas nécessaire. Par conséquent, le chiffre 6 du dispositif du jugement entrepris sera annulé.</w:t>
      </w:r>
    </w:p>
    <w:p>
      <w:r>
        <w:rPr>
          <w:b/>
        </w:rPr>
        <w:t>E. 7</w:t>
      </w:r>
    </w:p>
    <w:p>
      <w:r>
        <w:t>L'appelant conteste le résultat de la liquidation du régime matrimonial, faisant valoir que le premier juge a confondu la masse des biens propres avec celle des acquêts et effectué des calculs incompréhensibles. 7.1.1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Chaque époux a l'administration, la jouissance et la disposition de ses acquêts et de ses biens propres, dans les limites de la loi (art. 201 al. 1 CC). Lorsqu'un bien appartient en copropriété aux deux époux, aucun d'eux ne peut, sauf convention contraire, disposer de sa part sans le consentement de l'autre (art. 201 al. 2 CC). Les acquêts et les biens propres de chaque époux sont disjoints dans leur composition au jour de la dissolution du régime (art. 207 al. 1 CC). Quiconque allègue qu'un bien appartient à l'un ou à l'autre des époux est tenu d'en établir la preuve (art. 200 al. 1 CC). Tout bien est présumé acquêt, sauf preuve du contraire (al. 3).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l'art. 8 CC, qui n'est pas applicable sur ce point (arrêt du Tribunal fédéral 5A_53/2022 du 14 février 2023 consid. 4.1; 5A_978/2020 du 5 avril 2022 consid. 3.2; 5A_489/2019 du 24 août 2020 consid. 10.1 et les références citées). 7.1.2 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(arrêts du Tribunal fédéral 5A_892/2014 du 18 mai 2015 consid. 2.1; 5A_37/2011 du 1 er septembre 2011 consid. 3.2.1). 7.1.3 Selon l'art. 208 al. 1 CC, sont réunis aux acquêts, en valeur : 1. les biens qui en faisaient partie et dont l’époux a disposé par libéralités entre vifs sans le consentement de son conjoint dans les cinq années antérieures à la dissolution du régime, à l’exception des présents d’usage; 2. les aliénations de biens d’acquêts qu’un époux a faites pendant le régime dans l’intention de compromettre la participation de son conjoint. Par libéralité au sens de l'art. 208 al. 1 ch. 1 CC, il faut comprendre une attribution volontaire partiellement ou entièrement gratuite à un tiers, qui a provoqué une diminution des acquêts ou a empêché leur accroissement (ATF 138 III 689 consid. 3.3; arrêts du Tribunal fédéral 5A_667/2019 du 7 avril 2020 consid. 4.1.1; 5A_397/2015 du 23 novembre 2015 consid. 9.1; 5A_339/2015 du 18 novembre 2015 consid. 8.3). Le ch. 2 de l'art. 208 al. 1 CC vise tous les actes juridiques par lesquels, durant le régime matrimonial, un époux dispose d'un acquêt et diminue ainsi la valeur de cette masse (arrêt du Tribunal fédéral 5A_662/2008 du 6 février 2009 consid. 2.2.1, publié in FamPra.ch 2009 p. 437). Il peut s'agir tant de libéralités au sens du ch. 1 que d'actes à titre onéreux désavantageux de nature à compromettre la participation du conjoint, d'actes de déréliction ou, simplement, d'actes matériels entraînant une diminution de valeur du bien, à l'exception de l'usage personnel (ATF 118 II 27 consid. 4b = JdT 1994 I 35; arrêts du Tribunal fédéral 5A_667/2019 du 7 avril 2020 consid. 4.1.1; 5A_397/2015 du 23 novembre 2015 consid. 9.1; 5A_339/2015 du 18 novembre 2015 consid. 8.3; 5A_662/2008 du 6 février 2009 consid. 2.2.1). En vertu de l'art. 8 CC, l'époux qui réclame la réunion aux acquêts selon l'art. 208 CC doit prouver que les conditions permettant une telle opération sont remplies (arrêts du Tribunal fédéral 5A_667/2019 du 7 avril 2020 consid. 4.1.2; 5C_66/2002 du 15 mai 2003 consid. 2.4.2, non publié aux ATF 129 III 481 ). Il doit prouver non seulement que le bien en cause a appartenu à l'autre époux à un moment donné, mais encore ce qu'il en est advenu (ATF 118 II 27 consid. 2 et 3b; arrêts du Tribunal fédéral 5A_667/2019 du 7 avril 2020 consid. 4.1.2; 5A_339/2015 du 18 novembre 2015 consid. 8.4; 5A_51/2014 du 14 juillet 2014 consid. 2.1, publié in FamPra.ch 2014 p. 1036; 5A_714/2009 du 16 décembre 2009 consid. 4.2, publié in FamPra.ch 2010 p. 430). S'il s'agit d'une libéralité au sens de l'art. 208 al. 1 ch. 1 CC, il appartient ensuite à l'auteur de la libéralité qui conteste la réunion de prouver le consentement de son conjoint (arrêts du Tribunal fédéral 5A_667/2019 du 7 avril 2020 consid. 4.1.2; 5C_111/2002 du 26 août 2002 consid. 2.1.3, publié in FamPra.ch 2003 p. 386; 5C_66/2002 du 15 mai 2002 consid. 2.1.3 et les références citées). 7.1.4 Selon l'art. 209 CC, il y a lieu à récompense, lors de la liquidation, entre les acquêts et les biens propres d’un même époux lorsqu’une dette grevant l’une des masses a été payée de deniers provenant de l’autre (al. 1).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l'art. 209 al. 3 CC (ATF 131 III 559 consid. 2.3, arrêt du Tribunal fédéral 5C_155/2004 du 2 février 2006 consid. 2.2.2 et les références citées). En revanche, si l'acquisition d'un bien est financée par une seule des masses de l'époux acquéreur, le bien est rattaché à cette masse; si des montants provenant de l'autre masse sont ultérieurement investis dans l'amélioration ou la conservation de ce bien, ils n'en modifient pas le rattachement, même s'ils sont supérieurs à la valeur du bien (arrêt du Tribunal fédéral 5C_155/2004 du 2 février 2006 consid. 2.2.3 et les références citées).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1987 p. 1 ss, p. 5). Ainsi, si un terrain à bâtir est acquis avec des fonds provenant d'une masse, il reste rattaché à celle-ci même si le bien-fonds est ensuite bâti avec des fonds provenant de l'autre masse et que la valeur de la construction excède de loin celle du sol (arrêt du Tribunal fédéral 5C_155/2004 du 2 février 2006 consid. 2.2.3 et la référence citée). 7.1.5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arrêt du Tribunal fédéral 5A_53/2022 du 14 février 2023 consid. 5.1 et les références citées). Une exception existe toutefois pour les comptes en banque, dont l'évaluation de leur valeur doit s'effectuer au jour de la dissolution du régime matrimonial ( ACJC/1220/2017 du 26 septembre 2017 consid. 11.11.1 et les références citées). 7.1.6 Chaque époux a droit à la moitié du bénéfice de l'autre (art. 215 al. 1 CC). Les créances sont compensées (al. 2). 7.2.1 En l'espèce, au jour de la dissolution du régime matrimonial de la participation aux acquêts, les comptes bancaires de l'intimée, ouverts avant le mariage, relèvent de la catégorie des biens propres. Toutefois, l'intimée a utilisé son compte W______ pour y percevoir son salaire et elle a crédité des sommes sur son compte V______ lesquelles ont été acquises à titre onéreux durant le mariage et sont présumées être des acquêts, en l'absence de preuve contraire (art. 200 al. 3 CC). Il s'ensuit que ses biens propres sont grevés d'une dette en faveur de ses acquêts, de 1'000 fr. 96. Autrement dit, les acquêts de l'intimée détiennent une créance de ce montant-là contre ses biens propres. Ensuite, l'intimée a admis avoir retiré le montant de 5'779 fr. 50 du compte joint des parties et admis le principe de son remboursement. Son compte d'acquêts est donc grevé d'une dette de ce montant-là en faveur du compte-joint (art. 209 CC). Cependant, les parties n'ont pas évoqué leur compte joint, de sorte que ce montant est à diviser entre eux deux, et grève pour 2'889 fr. 75 les acquêts de l'intimée. L'appelant, pour sa part, dispose d'une créance de même montant à l'encontre des acquêts de l'intimée. Contrairement à l'argumentation de l'appelant, les acquêts de l'intimée n'incluent pas une somme de 60'100 fr. parce que l'intimée a conservé la jouissance du mobilier de ménage. En effet, ce montant correspond à sa valeur à neuf, c'est-à-dire à celle qu'il faudrait débourser pour racheter l'ensemble des biens assurés en cas de sinistre, sans appliquer un coefficient de vétusté. Or, il est notoire que les meubles, le matériel informatique, l'électroménager, etc. subissent une dépréciation. Comme l'appelant n'a pas dressé une liste du mobilier en cause, ni justifié de l'application d'un indice de vétusté, aucune valeur ne peut, dès lors, être attribuée au mobilier. Il s'ensuit que les acquêts de l'intimée totalisent 1'000 fr. 96 de créances contre ses biens propres à l'actif et une dette de 2'889 fr. 75 au passif, de sorte que son compte d'acquêts est déficitaire et qu'il n'y a pas de valeur à partager. 7.2.2 Les comptes X______ de l'appelant, ouverts avant le mariage, relèvent également de ses biens propres, ainsi que le montant de 56'537 fr. 35 qu'il avait accumulé sur son compte d'épargne avant le mariage. En effet, l'appelant n'a pas dépensé le montant de 56'537 fr. 35 (sous réserve du virement de 50'000 fr. recrédité ensuite, qui n'a pas soulevé de contestations entre les parties, de sorte qu'il sera fait abstraction de cette opération), ni, a fortiori , n'a reconstitué cet avoir au moyen d'acquêts. Le prélèvement litigieux de 61'000 fr. du 27 décembre 2018 comprend donc 56'537 fr. 35 de biens propres et le solde de 4'462 fr. 65 représente une dette de ses biens propres en faveur de ses acquêts, respectivement une créance de ceux-ci contre ses biens propres, puisque ledit solde a été constitué au moyen de versements postérieurs au mariage, lesquels sont présumés être des acquêts (art. 200 al. 3 CC). S'ajoute au montant de 4'462 fr. 65, celui de sa créance de 2'889 fr. 75 contre les acquêts de l'intimée, 50 fr. (solde de son compte d'épargne), 10'647 fr. de fortune mobilière déclarée à l'Administration fiscale et le véhicule Y______, dont les parties ont admis sa valeur résiduelle en 7'500 fr. Enfin, l'appelant a retiré 1'000 fr. d'un bancomat le 7 janvier 2019, au sujet duquel l'intimée n'a rien démontré s'agissant de sa destination, de sorte qu'il ne peut pas être rapporté à ses acquêts en application de l'art. 208 CC. Les deux autres retraits, soit des virements de 1'000 fr. et de 1'006 fr. 15 intervenus les 12 février et 23 avril 2019, n'ont pas eu pour but de léser l'intimée, puisqu'ils ont été effectués en faveur du compte privé de l'appelant X______ n° 6______. Le compte d'acquêts de l'appelant totalise ainsi des valeurs à hauteur de 25'549 fr. 40, lequel est bénéficiaire, en l'absence de dettes. 7.2.3 Il résulte de ce qui précède que la créance de participation au bénéfice du régime matrimonial de l'intimée contre l'appelant s'élève à 12'774 fr. 70 (25'549 fr. 40 / 2). L'appel sera donc admis sur ce point et le ch. 16 du dispositif du jugement entrepris sera modifié dans ce sens.</w:t>
      </w:r>
    </w:p>
    <w:p>
      <w:r>
        <w:rPr>
          <w:b/>
        </w:rPr>
        <w:t>E. 8</w:t>
      </w:r>
    </w:p>
    <w:p>
      <w:r>
        <w:t>L'appelant remet en cause le partage par moitié des prestations de prévoyance acquises durant le mariage. 8.1.1 Selon l'art. 122 CC, les prétentions de prévoyance professionnelle acquises durant le mariage et jusqu’à l’introduction de la procédure de divorce sont partagées entre les époux. Aux termes de l'art. 123 CC, les prestations de sortie acquises, y compris les avoirs de libre passage et les versements anticipés pour la propriété du logement, sont partagées par moitié (al. 1). Les prestations de sortie à partager se calculent conformément aux art. 15 à 17 et 22a ou 22b de la loi du 17 décembre 1993 sur le libre (al. 3). Le but poursuivi par le législateur est de compenser les lacunes de prévoyance du conjoint qui, durant l'union renonce, totalement ou partiellement, à une activité lucrative et se consacre à l'éducation des enfants ou à la tenue du ménage (ATF 129 III 577 consid. 4.2.1).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(arrêt du Tribunal fédéral 5A_94/2019 du 13 août 2019 consid. 5.3). Le moment déterminant n'est pas celui où l'assuré perçoit une rente, mais celui où le droit à une rente d'invalidité lui est ouvert par une décision entrée en force, même si ce droit est ouvert de manière rétroactive (ATF 146 V 95 consid. 4.2.4 et 4.4; Stoudmann, Le divorce en pratique, 2 ème éd., 2023, p. 569). En matière de prévoyance professionnelle obligatoire, la survenance d'un cas de prévoyance lié à l'invalidité concorde temporellement avec la naissance du droit à des prestations d'invalidité de l'assurance-invalidité (art. 26 al. 1 LPP; ATF 135 V 13 consid. 2.6). Se pose la question de savoir ce qu’il se passe lorsqu’un cas de prévoyance survient en cours de procédure pour le conjoint débiteur postérieurement à l’introduction de la procédure de divorce. Une telle situation a ceci de particulier que le partage sera effectué sur la base d’un état de fait qui n’existera plus au moment où le jugement de divorce entrera en force et où l’institution de prévoyance devra exécuter le partage (arrêt de la Cour d'appel de Fribourg du 11 novembre 2019, op. cit ., consid. 5.5.3). Selon l'art. 22a al. 4 LFLP,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En application de cette disposition, l'art. 19g al. 2 OLP dispose que si le conjoint débiteur perçoit une rente d’invalidité et qu’il atteint l’âge de référence réglementaire pendant la procédure de divorce, l’institution de prévoyance peut réduire la prestation de sortie au sens de l’art. 124, al. 1, CC ainsi que la rente de vieillesse. La réduction correspond au maximum au montant dont auraient été amputées les prestations entre le moment où l’âge de référence réglementaire a été atteint et l’entrée en force du jugement de divorce si leur calcul s’était basé sur l’avoir diminué de la part transférée de la prestation de sortie. Le montant équivalent à la réduction est partagé par moitié entre les deux conjoints 8.1.2 L'art. 124b CC règle les conditions auxquelles le juge (ou les époux) peuvent déroger au principe du partage par moitié prévu à l'art. 123 CC. Selon l'art. 124b al. 2 CC,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5A_483/2023 du 29 octobre 2024 consid. 4.2). Il y a iniquité lorsque, au moment du partage, la situation de prévoyance d'un époux en comparaison avec celle de son conjoint est manifestement choquante. Le Conseil fédéral établit que " l'iniquité se mesure à l'aune des besoins de prévoyance de l'autre conjoint " (Message partage de la prévoyance professionnelle, FF 2013 4371). Il s'agit par conséquent de confronter les besoins respectifs de chacun des époux, afin de déterminer si l'un d'eux subit des " désavantages flagrants " par rapport à l'autre. Une simple inégalité résultant du partage n'est en revanche pas suffisante. Le partage des prestations de sortie n'a en effet pas pour but d'assurer un niveau de vie semblable aux ex-conjoints, par opposition à ce qui prévaut en matière d'entretien après le divorce (Pichonnaz, Commentaire romand, Code civil I, 2 ème éd. 2023, n. 28 ad art. 124b CC). 8.1.3 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(arrêt du Tribunal fédéral 5A_483/2023 précité consid. 4.2.2 et les réf. citées). Dans le cadre des travaux parlementaires, cette différence d'âge a été illustrée en prenant l'exemple de conjoints ayant au moins vingt années d'écart entre eux (arrêt du Tribunal fédéral 5A_153/2019 du 3 septembre 2019 consid. 6.3.2; BO CN 2015 p. 761). La doctrine situe elle aussi la différence d'âge pertinente aux alentours de vingt ans (Stoudmann, op. cit . p. 623 et les références citées; contra : Jungo/Grütter, in FamKommentar Scheidung, 3 ème éd., 2017, n° 16 ad art. 124b, selon qui une différence d'âge de dix ans peut aussi être prise en compte lorsque l'un des époux est proche de la retraite (arrêt du Tribunal fédéral 5A_153/2019 du 3 septembre 2019 consid. 6.3.2; ACJC/1647/2023 du 13 décembre 2023). Sous l'angle des besoins de prévoyance, le partage est inéquitable lorsque l'un des époux subit des désavantages flagrants par rapport à l'autre conjoint, de sorte qu'une exception au partage par moitié en raison de la différence d'âge ne peut être admise que si les époux ont des revenus et des perspectives de prestations de vieillesse futures comparables. Les besoins de prévoyance des conjoints sont des faits futurs ou hypothétiques, qui doivent être rendus vraisemblables sur la base de faits passés, ce qui a trait à l'appréciation des preuves (arrêt du Tribunal fédéral 5A_483/2023 précité consid. 4.2.2 et les réf. citées). Dans un arrêt du 31 mai 2021, la Cour d'appel civile du canton de Vaud a confirmé la décision du Tribunal selon laquelle une différence d'âge de 14 ans entre les époux ne suffisait pas à déroger au principe du partage par moitié des avoirs de prévoyance professionnelle (HC / 2021 / 301 consid. 7.3). 8.1.4 Le juge dispose d'un large pouvoir d'appréciation dans l'application de l'art. 124b CC (arrêts du Tribunal fédéral 5A_582/2020 du 7 octobre 2021 consid. 5.3;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8.2</w:t>
      </w:r>
    </w:p>
    <w:p>
      <w:r>
        <w:t>En l'espèce, l'appelant fait valoir que dans la mesure où il est âgé de 48 ans et que l'intimée est de quatorze ans sa cadette, cette différence d'âge justifierait que l'on s'écarte du principe de partage par moitié des avoirs de prévoyance accumulés durant le mariage, puisque la précitée pourra encore cotiser durant de nombreuses années. Une dérogation au principe prévu par l'art. 123 CC serait d'autant plus justifiée que lui-même bénéficie d'une rente AI, ce qui équivaut selon lui à la situation d'une personne arrivée à l'âge de la retraite. L'appelant ne peut être suivi. D'une part, la décision de l'OCAI du 26 février 2024 reconnaît le droit du précité à une rente AI à partir du 1 er novembre 2021. Cette décision fait cependant l'objet d'une révision depuis le mois de novembre 2024. A ce stade, aucun élément ne permet de retenir que le droit de l'appelant à percevoir une rente AI sera confirmé. Même dans l'hypothèse où l'appelant resterait bénéficiaire d'une rente AI, sa situation ne serait pas assimilable à la situation d'une personne qui aurait atteint l'âge de la retraite. Cette distinction s'explique essentiellement en raison de la différence de financement de la rente d'invalidité par rapport à la rente de vieillesse (cf. Bulletin de la prévoyance professionnelle n° 147 du 19 avril 2018 ch. 985 n. 6 p. 4-6). Quoi qu'il en soit, l'éventuel droit de l'appelant à bénéficier d'une rente invalidité est né postérieurement à l'introduction de la demande en divorce (11 février 2021), de sorte qu'il n'a, en soi, aucune incidence sur l'application du principe fixé à l'art. 123 CC. A noter que dans la mesure où l'appelant travaille à 70% (et qu'il a été apte à travailler à 100% postérieurement au dépôt de sa demande de prestations d'invalidité, dans une activité adaptée à son état de santé), il semble peu probable qu'une rente invalidité lui sera servie par la prévoyance professionnelle, étant précisé qu'à teneur du dossier l'appelant n'en a pas perçue une, puisque le droit à des prestations d’invalidité est donné aux personnes qui sont invalides à raison de 40% au moins au sens de l'AI (cf. art. 28 LPP). Il ne peut donc être retenu qu'un cas de prévoyance serait survenu en cours de procédure divorce. Par ailleurs, au regard des règles rappelées ci-dessus, la différence d'âge de quatorze ans entre les parties n'apparaît pas suffisamment importante pour commander une dérogation à la règle fixée à l'art. 123 CC, étant relevé que l'appelant dispose encore de plus de seize ans pour cotiser à la prévoyance professionnelle. Il existe certes une différence importante entre les avoirs de prévoyance professionnelle accumulés durant le mariage par chacune des parties (soit 98'019 fr. 80 pour l'appelant et 14'300 fr. 40 pour l'intimée), mais elle résulte en grande partie du choix des époux d'un partage conventionnel des tâches durant leur union. Ainsi, durant le mariage, l'appelant a poursuivi l'exercice de son activité lucrative à plein temps, tandis que l'intimée n'a pas travaillé au début du mariage, ni après la naissance de ses filles, en 2012 et en 2015. Par la suite, elle a repris une activité professionnelle à temps partiel. Aujourd'hui, elle exerce une garde exclusive sur les filles et ce ne sera peut-être que lorsque la cadette aura atteint l'âge de 16 ans, en août 2031, soit dans 7 ans, qu'elle aura la disponibilité d'augmenter son taux d'activité à 100% et de cotiser pleinement à sa prévoyance professionnelle. Or, la volonté du législateur est justement de rétablir l'égalité entre les conjoints afin d'éviter que celui qui se consacre à la tenue du ménage et aux soins des enfants ne soit pas prétérité sur le plan de sa prévoyance professionnelle, comparativement à l'autre conjoint qui, en poursuivant son activité lucrative, a continué à cotiser pleinement à son deuxième pilier. L'appelant n'a pour le surplus aucunement tenté de démontrer qu'un partage par moitié de ses avoirs de prévoyance professionnelle le placerait, au moment de la retraite, dans une situation de prévoyance choquante par rapport à celle de l'intimée. Compte tenu de l'ensemble de ce qui précède, il ne se justifie pas de déroger au principe du partage par moitié des avoirs de la prévoyance professionnelle accumulés pendant le mariage, lequel apparaît équitable en l'espèce. Partant, le jugement entrepris sera confirmé sur ce point. Cependant, les avoirs de prévoyance de l'appelant étant désormais auprès de la Fondation institution supplétive LPP, le chiffre 17 du jugement attaqué sera réformé en ce sens que c'est à cette dernière qu'il sera ordonné de prélever 41'838 fr. 70 du compte de prévoyance de l'appelant et de transférer cette somme sur le compte de prévoyance de l'intimée.</w:t>
      </w:r>
    </w:p>
    <w:p>
      <w:r>
        <w:rPr>
          <w:b/>
        </w:rPr>
        <w:t>E. 9</w:t>
      </w:r>
    </w:p>
    <w:p>
      <w:r>
        <w:t>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 Si l'instance d'appel statue à nouveau, elle se prononce sur les frais de la première instance (art. 318 al. 3 CPC).</w:t>
      </w:r>
    </w:p>
    <w:p>
      <w:r>
        <w:rPr>
          <w:b/>
        </w:rPr>
        <w:t>E. 9.1</w:t>
      </w:r>
    </w:p>
    <w:p>
      <w:r>
        <w:t>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qui n'est pas critiquable compte tenu de la nature familiale du litige et du fait qu'aucune d'elles n'a obtenu le plein de ses conclusions de première instance (art. 106 al. 2 et 107 al. 1 let. c CPC). Le montant et la répartition des frais de première instance seront par conséquent confirmés.</w:t>
      </w:r>
    </w:p>
    <w:p>
      <w:r>
        <w:rPr>
          <w:b/>
        </w:rPr>
        <w:t>E. 9.2</w:t>
      </w:r>
    </w:p>
    <w:p>
      <w:r>
        <w:t>Les frais judiciaires des appels seront fixés à 3'000 fr. (art. 30 et 35 RTFMC). Compte tenu de la nature familiale du litige et de l'issue de celui-ci, lesdits frais judiciaires seront répartis à raison de 2/3 à la charge de l'appelant et d'1/3 à la charge de l'intimée. Chaque partie supportera ses propres dépens d'appel (art. 106 al. 2 et 107 al. 1 let. c CPC). Dans la mesure où l'appelant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L'intimée sera condamnée à verser le montant de 1'000 fr. à l'Etat de Genève. Pour les mêmes motifs, chaque partie supportera ses propres dépens d'appel (art. 107 al. 1 let. c CPC). * * * * * PAR CES MOTIFS, La Chambre civile : A la forme : Déclare recevable l'appel interjeté le 1 er février 2024 par A______ contre les chiffres 6, 9 à 11, 16 et 17 du dispositif du jugement JTPI/15101/2023 rendu le 21 décembre 2023 par le Tribunal de première instance dans la cause C/2925/2021. Au fond : Annule les chiffres 6 à 11, 16 et 17 du dispositif de ce jugement et, statuant à nouveau sur ces points : Condamne A______ à verser en mains de B______, à titre de contribution à l'entretien de C______, par mois et d'avance, allocations familiales non comprises, la somme de 400 fr. depuis le prononcé du jugement de première instance jusqu'à ses 16 ans, puis de 500 fr. jusqu'à sa majorité, voire au-delà en cas d'études régulières et suivies. Condamne A______ à verser en mains de B______, à titre de contribution à l'entretien de D______, par mois et d'avance, allocations familiales non comprises, la somme de 400 fr. depuis le prononcé du jugement de première instance jusqu'à ses 16 ans, puis de 500 fr. jusqu'à sa majorité, voire au-delà en cas d'études régulières et suivies. Dit que les éventuelles rentes AI perçues par C______ et D______ découlant de la rente d'invalidité perçue par leur père doivent être déduites des pensions alimentaires arrêtées ci-dessus, étant précisé que tout montant supérieur à la contribution d'entretien fixée ci-dessus sera versé en faveur des enfants. Dit que ces contributions mensuelles à l’entretien des mineures C______ et D______ seront indexées chaque année à l’indice genevois des prix à la consommation, la première fois le 1 er janvier 2026, l’indice de référence étant celui en vigueur au jour du prononcé du présent arrêt. Ordonne à la Fondation institution supplétive LPP, Elias-Canetti-Strasse 2, Postfach, 8050 Zürich, de prélever 41'838 fr. 70 du compte de prévoyance de A______, n° AVS 9______, et de transférer cette somme sur le compte de prévoyance de B______, n° AVS 10______, n° affiliée 8______, auprès de la Caisse de prévoyance professionnelle F______, [à l'adresse] 11______. Condamne A______ à verser à B______ la somme de 12'774 fr. 70 à titre de liquidation du régime matrimonial. Confirme le jugement entrepris pour le surplus. Déboute les parties de toutes autres conclusions. Sur les frais : Arrête les frais judiciaires d'appel à 3'000 fr. et les met à la charge de A______ à raison de 2/3 et de B______ à raison d'1/3. Dit que la part de frais judiciaires d'appel mise à la charge de A______, de 2'000 fr., est provisoirement supportée par l'Etat de Genève. Condamne B______ à verser l'000 fr. à l'Etat de Genève, soit pour lui les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