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C/28845/2017 vom 12. Juli 2019</w:t>
      </w:r>
    </w:p>
    <w:p>
      <w:r>
        <w:t>GE Cour de justice, 2019-07-12, FR</w:t>
      </w:r>
    </w:p>
    <w:p>
      <w:r>
        <w:rPr>
          <w:b/>
        </w:rPr>
        <w:t xml:space="preserve">Quelle: </w:t>
      </w:r>
      <w:r>
        <w:t>https://mcp.opencaselaw.ch/entscheid/ge_gerichte_C_28845_2017</w:t>
      </w:r>
    </w:p>
    <w:p>
      <w:r>
        <w:t>FR: GE_GERICHTE C/28845/2017 du 12 juillet 2019</w:t>
      </w:r>
    </w:p>
    <w:p>
      <w:r>
        <w:t>IT: GE_GERICHTE C/28845/2017 del 12 luglio 2019</w:t>
      </w:r>
    </w:p>
    <w:p>
      <w:pPr>
        <w:pStyle w:val="Heading2"/>
      </w:pPr>
      <w:r>
        <w:t>Regeste</w:t>
      </w:r>
    </w:p>
    <w:p>
      <w:r>
        <w:t>DIVORCE;MESURE PROVISIONNELLE;OBLIGATION D'ENTRETIEN;CONJOINT;CONTRIBUTION DE PRISE EN CHARGE;MINIMUM VITAL</w:t>
      </w:r>
    </w:p>
    <w:p>
      <w:pPr>
        <w:pStyle w:val="Heading2"/>
      </w:pPr>
      <w:r>
        <w:t>Erwägungen</w:t>
      </w:r>
    </w:p>
    <w:p>
      <w:r>
        <w:rPr>
          <w:b/>
        </w:rPr>
        <w:t>E. 1.1</w:t>
      </w:r>
    </w:p>
    <w:p>
      <w:r>
        <w:t>L'appel est dirigé contre une décision prise sur mesures provisionnelles (art. 308 al. 1 let. b CPC), dont la valeur litigieuse dépasse 10'000 fr. au dernier état des conclusions de première instance (art. 308 al. 2 et 92 al. 2 CPC). L'appel a, au surplus, été introduit dans les dix jours à compter de la notification de la décision attaquée, la présente cause étant soumise à la procédure sommaire, et selon la forme prescrite (art. 248 let. d, 311 al. 1 et 314 al. 1 CPC). Il est ainsi recevable.</w:t>
      </w:r>
    </w:p>
    <w:p>
      <w:r>
        <w:rPr>
          <w:b/>
        </w:rPr>
        <w:t>E. 1.2</w:t>
      </w:r>
    </w:p>
    <w:p>
      <w:r>
        <w:t>La Cour revoit la cause avec un plein pouvoir d'examen en fait et en droit (art. 310 CPC). La présente cause est soumise aux maximes d'office et inquisitoire illimitée en tant qu'elle concerne l'enfant mineur des parties (art. 296 al. 1 et al. 3 CPC) et, en tant qu'elle porte sur la contribution d'entretien de l'épouse, à la maxime de disposition.</w:t>
      </w:r>
    </w:p>
    <w:p>
      <w:r>
        <w:rPr>
          <w:b/>
        </w:rPr>
        <w:t>E. 1.3</w:t>
      </w:r>
    </w:p>
    <w:p>
      <w:r>
        <w:t>Les mesures provisionnelles étant soumises à la procédure sommaire, avec administration restreinte des moyens de preuve, la cognition du juge est limitée à la simple vraisemblance des faits et à un examen sommaire du droit (arrêt du Tribunal fédéral 5A_442/2013 du 24 juillet 2013 consid. 2.1 et 5.1; ATF 127 III 474 consid. 2b/bb).</w:t>
      </w:r>
    </w:p>
    <w:p>
      <w:r>
        <w:rPr>
          <w:b/>
        </w:rPr>
        <w:t>E. 2</w:t>
      </w:r>
    </w:p>
    <w:p>
      <w:r>
        <w:t>2.1.1 Saisi d'une requête commune ou d'une demande unilatérale tendant au divorce (art. 274 CPC), le tribunal ordonne les mesures provisionnelles nécessaires, en appliquant par analogie les dispositions régissant la protection de l'union conjugale (art. 276 al. 1 CPC). 2.1.2 Si la suspension de la vie commune est fondée, le juge fixe la contribution pécuniaire à verser par l'une des parties à l'autre (art. 176 al. 1 ch. 1 CC). Selon l'art. 276 CC, auquel renvoie l'art. 176 al. 1 ch. 1 CC applicable durant la procédure de divorce,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 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Comme sous l'ancien droit, la répartition de l'entretien de l'enfant doit être effectuée non seulement en fonction des ressources de chacun des parents, mais également de leur contribution effective aux soins et à l'éducation (art. 286 al. 2 CC). Le calcul de l'éventuelle contribution de prise en charge s'effectue cependant selon la méthode dite des " frais de subsistance " (arrêt du Tribunal fédéral 5A_454/2017 du 17 mai 2018, destiné à la publication, consid. 7.1.2.2). L'obligation d'entretien envers un enfant mineur est prioritaire par rapport aux autres obligations d'entretien du droit de la famille (art. 276a al. 1 CC).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arrêts du Tribunal fédéral 5A_968/2017 du 25 septembre 2018 consid. 3.1.2; 5A_931/2017 du 1er novembre 2018 consid. 3.1.2). En effet,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(ATF 144 III 481 consid. 4.5-4.6 : arrêt du Tribunal fédéral 5A_968/2017 précité consid. 3.3). En principe, on accorde à la partie à qui l'on veut imputer un revenu hypothétique un délai approprié pour s'adapter à sa nouvelle situation. Ce délai doit être fixé en fonction des circonstances du cas particulier (ATF 129 III 417 consid. 2.2; 114 II 13 consid. 5). 2.1.3 Le principe et le montant de la contribution d'entretien due à un époux selon l'art. 176 al. 1 ch. 1 CC, applicable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Le juge peut donc devoir modifier la convention conclue pour la vie commune, afin de l'adapter à ces faits nouveaux. C'est dans ce sens qu'il y a lieu de comprendre la jurisprudence consacrée dans l'ATF 128 III 65 ,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2.1.4 L'obligation d'entretien trouve sa limite dans la capacité contributive du débirentier, en ce sens que le minimum vital de celui-ci doit être préservé (ATF 135 III 66 consid. 1; 123 III 1 consid. 3b/bb et consid. 5 in fine ).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2019, RS/GE E 3 60.04 [ci-après : Normes OP]; arrêt du Tribunal fédéral 5P_127/2003 du 4 juillet 2003 in FamPra.ch 2003 909 consid. 3; Chaix, in Commentaire romand, PICHONNAZ/FOEX,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5P_238/2005 du 28 novembre 2005 consid. 4.2.2.). 2.2.1 En l'espèce, il convient tout d'abord de déterminer si le prononcé des mesures provisionnelles apparaissait - ou pas - nécessaire. Il ressort de la procédure que les parties se sont séparées dans le courant du mois de décembre 2017 et que, jusqu'à la fin du mois de mai 2018, l'appelant a versé à son épouse la somme de 1'550 fr. par mois. Dès le mois de juin 2018, il a toutefois unilatéralement réduit ce montant à 1'000 fr. par mois, ce qui ne permettait pas à l'intimée de couvrir ses propres charges et celles de sa fille. Il découle de ce qui précède que l'intimée était fondée à solliciter le prononcé de mesures provisionnelles afin que le montant des contributions d'entretien dues par l'appelant soit judiciairement fixé pour la durée de la procédure de divorce. C'est dès lors à juste titre que le Tribunal est entré en matière sur la demande de mesures provisionnelles, quand bien même sa motivation, telle qu'elle ressort de l'ordonnance attaquée, ne saurait être suivie. 2.2.2 L'appelant fait grief au Tribunal de ne pas avoir établi précisément les charges des parties et de leur fille et d'avoir porté atteinte à son minimum vital. En 2017, son salaire net s'est élevé à 4'242 fr. par mois; pour les mois de janvier à octobre 2018, il s'est élevé en moyenne à 4'345 fr. par mois. Dans le cadre de la requête commune en divorce avec accord complet formée par les parties le 8 décembre 2017, l'appelant avait indiqué percevoir "un salaire mensuel variable de 5'592 fr. 10 bruts". En déduisant de celui-ci les charges sociales à hauteur de 18%, l'on parvient à un salaire mensuel net de l'ordre de 4'585 fr. Il sera par conséquent retenu que le salaire mensuel net de l'appelant est compris entre 4'300 fr. et 4'500 fr. En ce qui concerne ses charges incompressibles, elles seront retenues à hauteur des montants suivants : 1'250 fr. de loyer; 10 fr. de parking moto; 467 fr. de prime LAMAL; 224 fr. d'impôts; 13 fr. de "first caution" et 1'200 fr. de minimum vital, pour un total de fr. 3'164 fr. Il ne se justifie pas de retenir un minimum vital de 1'350 fr. alors que l'appelant n'exerce, en l'état, pas une garde partagée sur sa fille, qu'il n'a au demeurant pas sollicitée sur mesures provisionnelles. L'appelant paye par ailleurs actuellement un loyer de 1'250 fr. par mois, provision pour charges comprise; le fait qu'il puisse être à la recherche d'un logement plus spacieux et par voie de conséquence plus cher ne saurait toutefois justifier de tenir d'ores et déjà compte d'un hypothétique loyer plus élevé. Seule la prime pour l'assurance-maladie de base peut être prise en compte dans les charges incompressibles de l'appelant, la situation financière des parties ne leur permettant pas d'y inclure les primes pour une assurance complémentaire. Les contributions d'entretien dues à la famille priment par ailleurs les arriérés fiscaux, qui ont été écartés des charges incompressibles de l'appelant. La prime d'assurance RC est comprise dans son minimum vital. L'appelant n'a, pour le surplus, pas établi utiliser les transports publics, en plus de la moto pour laquelle il a allégué des frais de parking, lesquels ont été inclus dans son budget; il n'a par ailleurs pas rendu suffisamment vraisemblable avoir des besoins alimentaires accrus et supporter des dépenses supérieures à la moyenne pour l'entretien de ses vêtements, le chiffre 4 let. c du titre II des Normes OP 2019 mentionnant à ce titre le personnel de service et les voyageurs de commerce, soit des travailleurs dont la présentation doit être impeccable, cette disposition ne pouvant dès lors s'appliquer par analogie à un peintre en bâtiment. Pour le surplus, l'appelant n'a pas établi supporter régulièrement des frais médicaux non couverts. Au vu de ce qui précède, le solde disponible de l'appelant peut être estimé à un montant compris entre 1'136 fr. et 1'336 fr. par mois. 2.2.3 Les charges incompressibles de l'intimée, non contestées en appel, s'établissent de la manière suivante : 1'532 fr. de loyer; 499 fr. de prime LAMAL; 1'350 fr. de minimum vital OP, pour un total de 3'381 fr., hors impôts. Il se justifie, pour les raisons déjà exposées ci-dessus, d'écarter les primes LCA; quant à la prime d'assurance RC, elle est incluse dans le minimum vital OP. Le déficit mensuel de l'intimée est dès lors de l'ordre de 1'200 fr. 2.2.4 Les charges incompressibles de l'enfant des parties peuvent être retenues à hauteur des montants suivants : 383 fr. de loyer; 72 fr. de prime LAMAL; 41 fr. de frais de cuisines scolaires et de parascolaire; 400 fr. de minimum vital, sous déduction de 300 fr. d'allocations familiales, soit un total mensuel de 596 fr. non couvert. 2.2.5 L'appelant ne remet pas en cause son devoir de contribuer à l'entretien de sa fille; en revanche, il conteste désormais devoir verser une contribution à son épouse, au motif qu'il est vraisemblable qu'elle n'obtiendra aucune contribution d'entretien au fond. L'obligation d'entretien envers un enfant mineur étant prioritaire par rapport aux autres obligations d'entretien du droit de la famille (art. 276a al. 1 CC), il convient tout d'abord, conformément à l'art. 285 CC, de fixer la contribution d'entretien due à l'enfant, laquelle est susceptible de comprendre la contribution de prise en charge prévue à l'art. 285 al. 2 CC. Les charges de la mineure, non couvertes par les allocations familiales, s'élèvent à 596 fr. par mois. La garde de l'enfant étant assumée par l'intimée, laquelle ne parvient pas à assumer l'intégralité de ses propres charges, il se justifie de mettre l'entier des frais non couverts de la mineure à la charge de l'appelant. Il résulte par ailleurs du dossier que pendant la vie commune l'intimée a exercé une activité professionnelle à temps partiel, afin d'être en mesure de se consacrer à l'éducation de la fille des parties, l'appelant ayant, pour sa part, subvenu de manière plus importante que son épouse aux besoins de la famille. La fille des parties étant âgée de 7 ans, il ne saurait être exigé de l'intimée qu'elle travaille à plus de 50%. Par ailleurs, il conviendrait, quoiqu'il en soit, de lui laisser un délai suffisant pour augmenter son temps de travail, étant précisé que les mesures provisionnelles ne sont prononcées que pour la durée de la procédure de divorce. L'intimée subissant un déficit mensuel de l'ordre de 1'200 fr., il appartiendrait à l'appelant de le couvrir par le biais d'une contribution de prise en charge. Toutefois, le solde disponible de l'appelant, après paiement de la contribution à l'entretien de sa fille en 600 fr., est compris entre 536 fr. et 736 fr. par mois, ce montant étant dès lors insuffisant pour couvrir l'entier du déficit de son épouse. La contribution de prise en charge sera par conséquent fixée à 650 fr. par mois. Au vu de ce qui précède, l'appelant sera condamné à verser à l'intimée, par mois et d'avance, hors allocations familiales et à compter de la notification du présent arrêt, la somme globale de 1'250 fr. à titre de contribution à l'entretien de sa fille. Le chiffre 1 du dispositif de l'ordonnance attaquée sera modifié en conséquence. 2.2.6 L'appelant ayant totalement épuisé son solde disponible après le paiement des frais non couverts de sa fille et de la contribution de prise en charge fixée ci-dessus, par ailleurs insuffisante pour couvrir l'entier du déficit de l'intimée, la question du versement d'une contribution à l'entretien de cette dernière ne se pose pas. Le chiffre 2 du dispositif de l'ordonnance attaquée sera dès lors annulé.</w:t>
      </w:r>
    </w:p>
    <w:p>
      <w:r>
        <w:rPr>
          <w:b/>
        </w:rPr>
        <w:t>E. 3</w:t>
      </w:r>
    </w:p>
    <w:p>
      <w:r>
        <w:t>3.1.1 Les frais sont mis à la charge de la partie succombante (art. 106 al. 1 CPC).Lorsqu'aucune des parties n'obtient gain de cause, les frais sont répartis selon le sort de la cause (art. 106 al. 2 CPC). Le Tribunal peut s'écarter des règles générales et répartir les frais selon sa libre appréciation notamment lorsque le litige relève du droit de la famille (art. 107 al. 1 let. c CPC). 3.1.2 Si l'instance d'appel statue à nouveau, elle se prononce sur les frais de la première instance (art. 318 al. 3 CPC).</w:t>
      </w:r>
    </w:p>
    <w:p>
      <w:r>
        <w:rPr>
          <w:b/>
        </w:rPr>
        <w:t>E. 3.2</w:t>
      </w:r>
    </w:p>
    <w:p>
      <w:r>
        <w:t>Les frais fixés par le Tribunal, conformes au Règlement fixant le tarif des frais en matière civile (RTFMC), n'ont pas été contestés en appel, de même que leur répartition et l'absence d'allocation de dépens. Les chiffres 4 à 7 du dispositif de l'ordonnance attaquée seront par conséquent confirmés. 3.3.1 Les frais de la procédure d'appel seront fixés à 1'200 fr. (art. 31 et 37 RTFMC). Aucune des parties n'ayant obtenu entièrement gain de cause, ils seront répartis entre elles à concurrence de la moitié chacune. L'appelant ayant été mis au bénéfice de l'assistance judiciaire, sa part de frais, en 600 fr., sera provisoirement supportée par l'Etat de Genève. En revanche, il ne ressort pas du dossier que l'intimée bénéficie de l'assistance judiciaire pour la procédure d'appel, de sorte qu'elle sera condamnée à verser la somme de 600 fr. à l'Etat de Genève, soit pour lui les Services financiers du Pouvoir judiciaire. 3.3.2 Compte tenu de la nature familiale du litige, chaque partie prendra à sa charge ses propres frais d'avocat (art. 107 al.1 let c CPC). * * * * * PAR CES MOTIFS, La Chambre civile : A la forme : Déclare recevable l'appel interjeté par A______ contre l'ordonnance OTPI/200/2019 rendue le 29 mars 2019 par le Tribunal de première instance dans la cause C/28845/2017. Au fond : Annule les chiffres 1 et 2 du dispositif de l'ordonnance attaquée et cela fait : Condamne A______ à verser en mains de B______, par mois et d'avance, allocations familiales non comprises, la somme de 1'250 fr. à titre de contribution à l'entretien de l'enfant C______ et ce dès la notification du présent arrêt. Confirme pour le surplus l'ordonnance attaquée. Sur les frais : Arrête les frais judiciaires d'appel à 1'200 fr. Les met à la charge des parties à concurrence de la moitié chacune. Dit que la part des frais mise à la charge de A______, en 600 fr., est provisoirement assumée par l'Etat de Genève. Condamne B______ à verser à l'Etat de Genève, soit pour lui les Services financiers du Pouvoir judiciaire, la somme de 600 fr.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