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C/28762/2018 vom 4. November 2019</w:t>
      </w:r>
    </w:p>
    <w:p>
      <w:r>
        <w:t>GE Cour de justice, 2019-11-04, FR</w:t>
      </w:r>
    </w:p>
    <w:p>
      <w:r>
        <w:rPr>
          <w:b/>
        </w:rPr>
        <w:t xml:space="preserve">Quelle: </w:t>
      </w:r>
      <w:r>
        <w:t>https://mcp.opencaselaw.ch/entscheid/ge_gerichte_C_28762_2018</w:t>
      </w:r>
    </w:p>
    <w:p>
      <w:r>
        <w:t>FR: GE_GERICHTE C/28762/2018 du 4 novembre 2019</w:t>
      </w:r>
    </w:p>
    <w:p>
      <w:r>
        <w:t>IT: GE_GERICHTE C/28762/2018 del 4 novembre 2019</w:t>
      </w:r>
    </w:p>
    <w:p>
      <w:pPr>
        <w:pStyle w:val="Heading2"/>
      </w:pPr>
      <w:r>
        <w:t>Regeste</w:t>
      </w:r>
    </w:p>
    <w:p>
      <w:r>
        <w:t>CPC.315</w:t>
      </w:r>
    </w:p>
    <w:p>
      <w:pPr>
        <w:pStyle w:val="Heading2"/>
      </w:pPr>
      <w:r>
        <w:t>Volltext</w:t>
      </w:r>
    </w:p>
    <w:p>
      <w:r>
        <w:t>Genf Cour de Justice (Cour civile) Chambre civile 16.12.2019 C/28762/2018 Genève Cour de Justice (Cour civile) Chambre civile 16.12.2019 C/28762/2018 Ginevra Cour de Justice (Cour civile) Chambre civile 16.12.2019 C/28762/2018</w:t>
      </w:r>
    </w:p>
    <w:p>
      <w:r>
        <w:t>C/28762/2018 ACJC/1851/2019 du 16.12.2019 sur OTPI/691/2019 ( SDF ) Normes : CPC.315 Par ces motifs RÉPUBLIQUE ET CANTON DE GENÈVE POUVOIR JUDICIAIRE C/28762/2018 ACJC/1851/2019 ARRÊT DE LA COUR DE JUSTICE Chambre civile du lundi 16 decembre 2019 Entre Madame A______ , domiciliée ______, Genève, appelante d'une ordonnance rendue par la 2ème Chambre du Tribunal de première instance de ce canton le 4 novembre 2019, comparant par Me Alain Berger, avocat, boulevard des Philosophes 9, 1205 Genève, en l'étude duquel elle fait élection de domicile, et Monsieur B______ , domicilié ______, Genève, intimé, comparant par Me Magda Kulik, avocate, rue du Rhône 116, 1204 Genève, en l'étude de laquelle il fait élection de domicile. Attendu, EN FAIT , que par ordonnance du 4 novembre 2019, le Tribunal de première instance, statuant sur mesures provisionnelles, a, préalablement, annulé les chiffres 5 et 6 du jugement sur mesures protectrices de l'union conjugale n° JTPI/1______/2017 rendu le 27 juillet 2017 par le Tribunal de première instance, dans la cause n° C/2______/2016 opposant les parties (ch. 1 du dispositif) et, cela fait, condamné B______ à verser en mains de A______, par mois et d'avance, allocations familiales non comprises, les sommes de 4'340 fr. pour l'entretien de C______ et de 4'160 fr. pour celui de D______, avec effet au 1 er juin 2019 (ch. 2), dit que B______ ne devait aucune contribution à l'entretien de A______, avec effet au 1 er juin 2019 (ch. 3) et statué sur les frais (ch. 4 et 5); Que par acte expédié le 18 novembre 2019 à la Cour de justice, B______ a formé appel contre cette ordonnance, concluant, principalement, à l'annulation du ch. 1 de son dispositif et, cela fait, à ce que soient annulés les chiffres 5 et 6 du jugement sur mesures protectrices de l'union conjugale JTPI/1______/2017 rendu le 27 juillet 2017 par le Tribunal de première instance, tel que réformé par l'arrêt de la Cour de justice du 23 janvier 2018 ACJC/124/2018 dans la cause n° C/2______/2016; Que par acte expédié le 18 novembre 2019 à la Cour de justice, A______ a également formé appel contre l'ordonnance du 4 novembre 2019; qu'elle a conclu à l'annulation des ch. 1, 2 et 3 de son dispositif et, cela fait, au déboutement de B______ de toutes ses conclusions sur mesures provisionnelles; Qu'elle a conclu, préalablement, à la suspension de l'effet exécutoire des ch. 1, 2 et 3 du dispositif de l'ordonnance attaquée; qu'elle a invoqué qu'en l'absence de restitution de l'effet suspensif, elle devrait licencier la nounou de ses filles dont la présence est indispensable; de son côté, B______ dispose d'un solde mensuel important, de sorte qu'il ne subirait pas de préjudice si sa requête était admise; Qu'invité à se déterminer, B______ a conclu au rejet de cette requête; Considérant, EN DROIT , que la Cour est saisie d'un appel au sens de l'art. 308 CPC; Que l'ordonnance querellée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selon les principes généraux applicables en matière d'effet suspensif, le juge procèdera à une pesée des intérêts en présence et se demandera en particulier si sa décision est de nature à provoquer une situation irréversible;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il ne peut être considéré, prima facie , que le jugement attaqué viole manifestement le droit en ne prenant pas en compte les frais de nounou invoqués, vu l'âge des enfants et le fait que ladite nounou travaille durant les heures où ceux-ci sont à l'école (sous réserve du mercredi); qu'au vu de la situation financière de l'appelante, il est vraisemblable qu'elle sera en mesure, pour la durée limitée de la procédure devant la Cour en tout cas, de s'acquitter du salaire de la nounou, qu'elle ne devra vraisemblablement pas licencier avec effet immédiat; que si l'intimé ne risque pas de subir un préjudice difficilement réparable, comme l'appelante le soutient, il n'est pas davantage vraisemblable qu'elle serait susceptible d'en subir un; Qu'au vu de ce qui précède, la requête tendant à suspendre le caractère exécutoire des ch. 1, 2 et 3 du dispositif l'ordonnance attaquée sera rejetée; Qu'il sera statué sur les frais et dépens liés à la présente décision avec l'arrêt au fond (art. 104 al. 3 CPC). * * * * * PAR CES MOTIFS, La Chambre civile : Statuant sur requête de suspension du caractère exécutoire de l'ordonnance entreprise : Rejette la requête formée par A______ tendant à suspendre le caractère exécutoire des ch. 1, 2 et 3 du dispositif de l'ordonnance OTPI/691/2019 rendue le 4 novembre 2019 par le Tribunal de première instance dans la cause C/28762/2018-2. Dit qu'il sera statué sur les frais liés à la présente décision dans l'arrêt rendu sur le fond. Siégeant : Monsieur Laurent RIEBEN, président; Madame Camille LESTEVEN, greffière. Le président : Laurent RIEBEN La greffière : Camille LESTEVEN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