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C/2862/2019 vom 4. März 2020</w:t>
      </w:r>
    </w:p>
    <w:p>
      <w:r>
        <w:t>GE Cour de justice, 2020-03-04, FR</w:t>
      </w:r>
    </w:p>
    <w:p>
      <w:r>
        <w:rPr>
          <w:b/>
        </w:rPr>
        <w:t xml:space="preserve">Quelle: </w:t>
      </w:r>
      <w:r>
        <w:t>https://mcp.opencaselaw.ch/entscheid/ge_gerichte_C_2862_2019</w:t>
      </w:r>
    </w:p>
    <w:p>
      <w:r>
        <w:t>FR: GE_GERICHTE C/2862/2019 du 4 mars 2020</w:t>
      </w:r>
    </w:p>
    <w:p>
      <w:r>
        <w:t>IT: GE_GERICHTE C/2862/2019 del 4 marzo 2020</w:t>
      </w:r>
    </w:p>
    <w:p>
      <w:pPr>
        <w:pStyle w:val="Heading2"/>
      </w:pPr>
      <w:r>
        <w:t>Regeste</w:t>
      </w:r>
    </w:p>
    <w:p>
      <w:r>
        <w:t>LP.82; CC.818</w:t>
      </w:r>
    </w:p>
    <w:p>
      <w:pPr>
        <w:pStyle w:val="Heading2"/>
      </w:pPr>
      <w:r>
        <w:t>Erwägungen</w:t>
      </w:r>
    </w:p>
    <w:p>
      <w:r>
        <w:rPr>
          <w:b/>
        </w:rPr>
        <w:t>E. 2</w:t>
      </w:r>
    </w:p>
    <w:p>
      <w:r>
        <w:t>Le recourant reproche au Tribunal d'avoir violé son droit d'être entendu, en écartant sa duplique.</w:t>
      </w:r>
    </w:p>
    <w:p>
      <w:r>
        <w:rPr>
          <w:b/>
        </w:rPr>
        <w:t>E. 2.1</w:t>
      </w:r>
    </w:p>
    <w:p>
      <w:r>
        <w:t>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138 I 154 consid. 2.3.3; voir aussi ATF 142 III 324 consid. 2.2).</w:t>
      </w:r>
    </w:p>
    <w:p>
      <w:r>
        <w:rPr>
          <w:b/>
        </w:rPr>
        <w:t>E. 2.2</w:t>
      </w:r>
    </w:p>
    <w:p>
      <w:r>
        <w:t>En l'occurrence, le premier juge, après réception de la réponse, a annoncé qu'il garderait à juger 13 jours après sa communication; l'intimée a spontanément compris qu'il lui était loisible de répliquer à la condition que son acte soit parvenu au Tribunal avant l'échéance indiquée. Une fois cette réplique reçue, le Tribunal a procédé de façon similaire, à savoir a annoncé qu'il retiendrait à juger à l'échéance d'un délai de 10 jours dès réception de son envoi. Le recourant, qui a reçu communication dudit envoi le lendemain, bénéficiait ainsi d'un délai de 11 jours pour se déterminer, compte tenu du report dû à l'échéance tombant sur un jour non ouvrable, soit un délai, à un jour près, identique à celui dont l'intimée a fait usage. Or, la duplique a été postée trois jours après cette échéance, sans aucune explication sur le non respect du délai. Dans son recours, le recourant se borne à soutenir, ce qui n'est pas exact, que le premier juge n'aurait pas exposé la raison pour laquelle l'écriture était écartée, et que celle-ci était valablement déposée sans consacrer davantage de développements à la question. Il apparaît qu'en écartant la duplique, qui était manifestement tardive au vu du délai imparti, le Tribunal n'a pas violé le droit d'être entendu du recourant. Le grief soulevé à cet égard est ainsi sans fondement.</w:t>
      </w:r>
    </w:p>
    <w:p>
      <w:r>
        <w:rPr>
          <w:b/>
        </w:rPr>
        <w:t>E. 3</w:t>
      </w:r>
    </w:p>
    <w:p>
      <w:r>
        <w:t>Le recourant fait ensuite valoir que le premier juge aurait apprécié arbitrairement les preuves en retenant l'exigibilité des montants réclamés en poursuite, notamment en se fondant sur les conditions générales pour dénoncer les prêts, alors que selon sa thèse, il n'existerait "aucun lien de causalité" permettant à l'intimée de se prévaloir desdites conditions générales; il soutient en outre que l'intimée aurait accepté une remise conventionnelle de dette.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 Il en va de même de l'identité entre le créancier et le poursuivant. La production par le créancier du transfert de propriété à fin de garantie de la cédule hypothécaire établit sa qualité de propriétaire de celle-ci (AEBI, op. cit., p. 38). 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 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(FAVRE/LINIGER, Cédules hypothécaires et procédure de mainlevée, SJ 1995, p. 107; ATF 84 II 645 = JT 1959 I 493 ).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2019, n. 2 et 3 ad art. 180 CPC; DENYS, Cédule hypothécaire et mainlevée, in JdT 2008 II 3, n. 5.1).</w:t>
      </w:r>
    </w:p>
    <w:p>
      <w:r>
        <w:rPr>
          <w:b/>
        </w:rPr>
        <w:t>E. 3.2</w:t>
      </w:r>
    </w:p>
    <w:p>
      <w:r>
        <w:t>En l'espèce, l'intimée, par ses courriers du 9 mars 2017, a établi avoir dénoncé d'une part la créance de base, d'autre part la créance cédulaire, dans le respect des échéances respectives. S'agissant de la créance de base, l'intimée s'est fondée sur la résiliation anticipée que les conditions générales, dûment visées dans les contrats liant les parties, prévoyaient en cas de séquestre dirigé contre le recourant, séquestre dont l'existence n'est pas contestée. La thèse non étayée du recourant selon laquelle lesdites conditions générales ne s'appliqueraient pas ne trouve pas d'assise dans le dossier. Pour le surplus, le recourant fait grand cas du courrier électronique de l'intimée daté du 30 mai 2017, dans lequel il voit la renonciation à toute "mesure de coercition" à son égard et à l'application du taux d'intérêt de 9%. Ce faisant, il perd de vue que, si l'intimée a en effet annoncé qu'elle retirerait une poursuite autre que celles visées dans la présente procédure et appliquerait rétroactivement le taux d'intérêt de 1% (ce qu'elle a fait, ainsi qu'en témoignent les montants énoncés dans les commandements de payer notifiés dans les poursuites n° 2______ et 3______), elle a rappelé que les dénonciations des contrats de crédit, en particulier ceux liés aux immeubles quai 4______ et rue 6______ à C______, demeuraient en force. Contrairement à l'avis du recourant, il ne résulte donc pas des "accords négociés en mai 2017" que l'intimée aurait consenti une remise conventionnelle de dette. Le recourant a ainsi échoué à apporter un moyen libératoire, comme l'a retenu à raison le Tribunal. Pour le surplus, le recours reprend intégralement, sous l'intitulé "abus de droit", les développements qui figuraient dans l'écriture de réponse de première instance, sans critiquer la motivation du premier juge sur ce point, selon laquelle ces arguments n'étaient pas propres à faire échec à la mainlevée provisoire requise. Le grief n'est dès lors pas recevable (cf. ATF 138 III 374 consid. 4.3.1; arrêt du Tribunal fédéral 5D_65/2014 du 9 septembre 2014 consid. 5.4.1). Le recours est ainsi infondé, de sorte qu'il sera rejeté.</w:t>
      </w:r>
    </w:p>
    <w:p>
      <w:r>
        <w:rPr>
          <w:b/>
        </w:rPr>
        <w:t>E. 4</w:t>
      </w:r>
    </w:p>
    <w:p>
      <w:r>
        <w:t>Le recourant, qui succombe, supportera les frais du recours (art. 106 al. 1 CPC), arrêtés à 6'000 fr. (art. 48, 61 OELP), compensés avec l'avance opérée, acquise à l'Etat de Genève (art. 111 al. 1 CPC). Il versera en outre 5'000 fr. à l'intimée à titre de dépens, débours et TVA inclus (art. 85, 88, 90 RTFMC, art. 25 et 26 LaCC). * * * * * PAR CES MOTIFS, La Chambre civile : A la forme : Déclare recevable le recours formé le 25 novembre 2019 par A______ contre le jugement JTPI/15768/2019 rendu le 8 novembre 2019 par le Tribunal de première instance dans la cause C/2862/2019-15 SML. Au fond : Rejette ce recours. Déboute les parties de toutes autres conclusions. Sur les frais : Arrête les frais du recours à 6'000 fr., compensés avec l'avance opérée acquise à l'Etat de Genève, et les met à la charge de A______. Condamne A______ à verser à B______ 5'000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