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C/28554/2017 vom 18. Februar 2020</w:t>
      </w:r>
    </w:p>
    <w:p>
      <w:r>
        <w:t>GE Cour de justice, 2020-02-18, FR</w:t>
      </w:r>
    </w:p>
    <w:p>
      <w:r>
        <w:rPr>
          <w:b/>
        </w:rPr>
        <w:t xml:space="preserve">Quelle: </w:t>
      </w:r>
      <w:r>
        <w:t>https://mcp.opencaselaw.ch/entscheid/ge_gerichte_C_28554_2017</w:t>
      </w:r>
    </w:p>
    <w:p>
      <w:r>
        <w:t>FR: GE_GERICHTE C/28554/2017 du 18 février 2020</w:t>
      </w:r>
    </w:p>
    <w:p>
      <w:r>
        <w:t>IT: GE_GERICHTE C/28554/2017 del 18 febbraio 2020</w:t>
      </w:r>
    </w:p>
    <w:p>
      <w:pPr>
        <w:pStyle w:val="Heading2"/>
      </w:pPr>
      <w:r>
        <w:t>Regeste</w:t>
      </w:r>
    </w:p>
    <w:p>
      <w:r>
        <w:t>CO.319; CPC.317; cpc.247.al2; CPC.243</w:t>
      </w:r>
    </w:p>
    <w:p>
      <w:pPr>
        <w:pStyle w:val="Heading2"/>
      </w:pPr>
      <w:r>
        <w:t>Erwägungen</w:t>
      </w:r>
    </w:p>
    <w:p>
      <w:r>
        <w:rPr>
          <w:b/>
        </w:rPr>
        <w:t>E. 2</w:t>
      </w:r>
    </w:p>
    <w:p>
      <w:r>
        <w:t>2.1.1. La qualité pour agir (légitimation active) et la qualité pour défendre (légitimation passive) sont des questions de droit matériel, de sorte qu'elles ressortissent au droit privé fédéral s'agissant des actions soumises à ce droit (cf. ATF 139 III 504 consid. 1.2; 133 III 180 c. 3.4, JdT 2010 I 239, SJ 2007 I 387; arrêt du Tribunal fédéral 4A_1/2014 du 26 mars 2014 consid. 2.3). Elles se déterminent selon le droit au fond et leur défaut conduit au rejet de l'action qui intervient indépendamment de la réalisation des éléments objectifs de la prétention litigieuse (ATF 126 III 59 consid. 1a; arrêt du Tribunal fédéral 4C_353/2004 du 29 décembre 2004 consid. 2.1). Elles s'examinent d'office et librement, mais dans les limites des faits allégués et établis lorsque le litige est soumis à la maxime des débats (ATF 130 III 550 consid. 2; arrêt du Tribunal fédéral 4A_217/2017 du 4 août 2017 consid. 3.4.1 et les références citées). Le juge n'est pas autorisé non plus à pallier aux carences d'une partie, par exemple en attirant l'attention de celle-ci sur des faits qu'elle n'a pas allégués, pas plus qu'il ne peut l'aider à mieux défendre sa cause ou lui suggérer des arguments (ATF 142 III 462 consid. 4.3).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(ATF 142 III 413 consid. 2.2.2). Lorsque le litige est soumis à la maxime inquisitoire simple, la cour cantonale peut refuser de prendre en considération un fait ou un moyen de preuve nouveau si le juge de première instance a pu l'ignorer sans méconnaitre cette maxime (Hohl, Procédure civile, tome I, 2ème éd., 2016, p. 240, n. 1452). 2.1.2.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2.2.1. En l'occurrence, le grief de l'appelante est nouveau, de sorte qu'il n'a pas à être examiné à ce stade. Le fait que la question de la légitimation passive doive être examinée d'office par le juge ne signifie pas que les parties sont libérées de la charge d'alléguer les faits pertinents. Or, en l'espèce, il ne peut pas être reproché au Tribunal d'avoir omis d'interpeller l'appelante au sujet de sa qualité d'employeuse, celle-ci n'ayant à aucun moment de la procédure de première instance fait valoir qu'elle n'était pas partie au contrat de travail. Il incombait au contraire à l'appelante, dûment assistée par un conseil, de porter ce fait à la connaissance du Tribunal. Il sera à cet égard rappelé que l'appelante a comparu devant les premiers juges en qualité d'employeur et s'est exprimée en cette qualité dans la procédure, se plaignant du comportement de l'employée et se réservant le droit de lui réclamer des dommages-intérêts. L'appelante ne saurait ainsi se prévaloir de cette nouvelle argumentation devant la Cour. 2.2.2. A toutes fins utiles, il sera constaté que l'appelante figure en tant qu'employeur sur le contrat de travail, qu'elle a signé à ce titre. Elle a versé 1'000 fr. de salaire à l'employée et était présente dans l'établissement, contrairement à l'intimé C______. C'est l'appelante qui a adressé à l'employée la sommation du 6 février 2017, et c'est son conseil qui a écrit au syndicat G______ au nom de " C______/F______, savoir Mme A______ ". Aussi, l'appelante ne saurait de bonne foi soutenir qu'elle n'était pas l'employeur. L'appel se révèle infondé, de sorte que le jugement sera entièrement confirmé.</w:t>
      </w:r>
    </w:p>
    <w:p>
      <w:r>
        <w:rPr>
          <w:b/>
        </w:rPr>
        <w:t>E. 3</w:t>
      </w:r>
    </w:p>
    <w:p>
      <w:r>
        <w:t>Il n'est pas perçu de frais judiciaires (art. 114 let. c CPC) ni alloué de dépens (art. 22 al. 2 LaCC). * * * * * PAR CES MOTIFS, La Chambre des prud'hommes, groupe 2 : A la forme : Déclare recevable l'appel interjeté le 6 août 2019 par A______ contre le jugement JTPH/265/2019 rendu le 11 juillet 2019 par le Tribunal des prud'hommes dans la cause C/28554/2017-2. Au fond : Confirme le jugement attaqué. Déboute les parties de toutes autres conclusions. Siégeant : Madame Verena PEDRAZZINI RIZZI, présidente; Monsieur Vincent CANONICA, juge employeur; Monsieur Kasum VELII,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